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FB" w:rsidRDefault="00E86CFB" w:rsidP="00E86CFB">
      <w:pPr>
        <w:spacing w:line="240" w:lineRule="auto"/>
        <w:jc w:val="right"/>
        <w:rPr>
          <w:rFonts w:ascii="Trebuchet MS" w:hAnsi="Trebuchet MS" w:cs="Arial"/>
        </w:rPr>
      </w:pPr>
      <w:bookmarkStart w:id="0" w:name="_GoBack"/>
      <w:bookmarkEnd w:id="0"/>
      <w:proofErr w:type="spellStart"/>
      <w:r>
        <w:rPr>
          <w:rFonts w:ascii="Trebuchet MS" w:hAnsi="Trebuchet MS" w:cs="Arial"/>
        </w:rPr>
        <w:t>Gleißner</w:t>
      </w:r>
      <w:proofErr w:type="spellEnd"/>
      <w:r>
        <w:rPr>
          <w:rFonts w:ascii="Trebuchet MS" w:hAnsi="Trebuchet MS" w:cs="Arial"/>
        </w:rPr>
        <w:t xml:space="preserve">, Sp, </w:t>
      </w:r>
      <w:r w:rsidR="008A68D5">
        <w:rPr>
          <w:rFonts w:ascii="Trebuchet MS" w:hAnsi="Trebuchet MS" w:cs="Arial"/>
        </w:rPr>
        <w:t>8</w:t>
      </w:r>
      <w:r>
        <w:rPr>
          <w:rFonts w:ascii="Trebuchet MS" w:hAnsi="Trebuchet MS" w:cs="Arial"/>
        </w:rPr>
        <w:t>. 5. 2015</w:t>
      </w:r>
    </w:p>
    <w:p w:rsidR="00E86CFB" w:rsidRDefault="00E86CFB" w:rsidP="00747D97">
      <w:pPr>
        <w:spacing w:line="240" w:lineRule="auto"/>
        <w:rPr>
          <w:rFonts w:ascii="Trebuchet MS" w:hAnsi="Trebuchet MS" w:cs="Arial"/>
        </w:rPr>
      </w:pPr>
    </w:p>
    <w:p w:rsidR="00E86CFB" w:rsidRPr="00E86CFB" w:rsidRDefault="00E86CFB" w:rsidP="00E86CFB">
      <w:pPr>
        <w:spacing w:line="240" w:lineRule="auto"/>
        <w:jc w:val="center"/>
        <w:rPr>
          <w:rFonts w:ascii="Trebuchet MS" w:hAnsi="Trebuchet MS" w:cs="Arial"/>
          <w:b/>
        </w:rPr>
      </w:pPr>
      <w:r w:rsidRPr="00E86CFB">
        <w:rPr>
          <w:rFonts w:ascii="Trebuchet MS" w:hAnsi="Trebuchet MS" w:cs="Arial"/>
          <w:b/>
        </w:rPr>
        <w:t xml:space="preserve">Kommentar zum Erlass-Entwurf (LSDB-Richtlinien 2015), Stand </w:t>
      </w:r>
      <w:r w:rsidR="008A68D5">
        <w:rPr>
          <w:rFonts w:ascii="Trebuchet MS" w:hAnsi="Trebuchet MS" w:cs="Arial"/>
          <w:b/>
        </w:rPr>
        <w:t>Mai</w:t>
      </w:r>
      <w:r w:rsidRPr="00E86CFB">
        <w:rPr>
          <w:rFonts w:ascii="Trebuchet MS" w:hAnsi="Trebuchet MS" w:cs="Arial"/>
          <w:b/>
        </w:rPr>
        <w:t xml:space="preserve"> 2015</w:t>
      </w:r>
    </w:p>
    <w:p w:rsidR="00E86CFB" w:rsidRDefault="00E86CFB" w:rsidP="00747D97">
      <w:pPr>
        <w:spacing w:line="240" w:lineRule="auto"/>
        <w:rPr>
          <w:rFonts w:ascii="Trebuchet MS" w:hAnsi="Trebuchet MS" w:cs="Arial"/>
        </w:rPr>
      </w:pPr>
    </w:p>
    <w:p w:rsidR="00852FAE" w:rsidRPr="007E6D79" w:rsidRDefault="00852FAE" w:rsidP="00747D97">
      <w:pPr>
        <w:spacing w:line="240" w:lineRule="auto"/>
        <w:rPr>
          <w:rFonts w:ascii="Trebuchet MS" w:hAnsi="Trebuchet MS" w:cs="Arial"/>
        </w:rPr>
      </w:pPr>
      <w:r w:rsidRPr="007E6D79">
        <w:rPr>
          <w:rFonts w:ascii="Trebuchet MS" w:hAnsi="Trebuchet MS" w:cs="Arial"/>
        </w:rPr>
        <w:t xml:space="preserve">Inhaltlich lässt das Gesetz </w:t>
      </w:r>
      <w:r w:rsidR="00E86CFB">
        <w:rPr>
          <w:rFonts w:ascii="Trebuchet MS" w:hAnsi="Trebuchet MS" w:cs="Arial"/>
        </w:rPr>
        <w:t xml:space="preserve">gegen Unterentlohnung (AVRAG) </w:t>
      </w:r>
      <w:r w:rsidRPr="007E6D79">
        <w:rPr>
          <w:rFonts w:ascii="Trebuchet MS" w:hAnsi="Trebuchet MS" w:cs="Arial"/>
        </w:rPr>
        <w:t>wenig Spielraum</w:t>
      </w:r>
      <w:r w:rsidR="00E86CFB">
        <w:rPr>
          <w:rFonts w:ascii="Trebuchet MS" w:hAnsi="Trebuchet MS" w:cs="Arial"/>
        </w:rPr>
        <w:t xml:space="preserve">. Dennoch regelt der Erlass auf über 90 Seiten (!) wesentliche Aspekte. Unten sind wichtige Randziffern kommentiert, die wichtigsten </w:t>
      </w:r>
      <w:proofErr w:type="spellStart"/>
      <w:r w:rsidR="00E86CFB">
        <w:rPr>
          <w:rFonts w:ascii="Trebuchet MS" w:hAnsi="Trebuchet MS" w:cs="Arial"/>
        </w:rPr>
        <w:t>Rz</w:t>
      </w:r>
      <w:proofErr w:type="spellEnd"/>
      <w:r w:rsidR="00E86CFB">
        <w:rPr>
          <w:rFonts w:ascii="Trebuchet MS" w:hAnsi="Trebuchet MS" w:cs="Arial"/>
        </w:rPr>
        <w:t xml:space="preserve"> sind unterstrichen</w:t>
      </w:r>
      <w:r w:rsidRPr="007E6D79">
        <w:rPr>
          <w:rFonts w:ascii="Trebuchet MS" w:hAnsi="Trebuchet MS" w:cs="Arial"/>
        </w:rPr>
        <w:t>: W</w:t>
      </w:r>
      <w:r w:rsidR="00104DFF" w:rsidRPr="007E6D79">
        <w:rPr>
          <w:rFonts w:ascii="Trebuchet MS" w:hAnsi="Trebuchet MS" w:cs="Arial"/>
        </w:rPr>
        <w:t xml:space="preserve">esentlich ist die 10% Bagatellgrenze (Randziffer 52). Gering ist eine Unterschreitung von maximal 10% des Monatsentgelts. Bei </w:t>
      </w:r>
      <w:r w:rsidR="00F57375" w:rsidRPr="007E6D79">
        <w:rPr>
          <w:rFonts w:ascii="Trebuchet MS" w:hAnsi="Trebuchet MS" w:cs="Arial"/>
        </w:rPr>
        <w:t xml:space="preserve">einer </w:t>
      </w:r>
      <w:r w:rsidR="00104DFF" w:rsidRPr="007E6D79">
        <w:rPr>
          <w:rFonts w:ascii="Trebuchet MS" w:hAnsi="Trebuchet MS" w:cs="Arial"/>
        </w:rPr>
        <w:t>mehrmonatigen Unterschreitung</w:t>
      </w:r>
      <w:r w:rsidR="00F57375" w:rsidRPr="007E6D79">
        <w:rPr>
          <w:rFonts w:ascii="Trebuchet MS" w:hAnsi="Trebuchet MS" w:cs="Arial"/>
        </w:rPr>
        <w:t xml:space="preserve"> zählt die durchschnittliche Unterschreitung bezogen auf den betreffenden Zeitraum. Ist die Unterschreitung geringfügig ODER beruht sie auf leichter Fahrlässigkeit, kann die Anzeige/Strafe durch Nachzahlung des Fehlbetrags abgewendet werden (§ 7i </w:t>
      </w:r>
      <w:proofErr w:type="spellStart"/>
      <w:r w:rsidR="00F57375" w:rsidRPr="007E6D79">
        <w:rPr>
          <w:rFonts w:ascii="Trebuchet MS" w:hAnsi="Trebuchet MS" w:cs="Arial"/>
        </w:rPr>
        <w:t>Abs</w:t>
      </w:r>
      <w:proofErr w:type="spellEnd"/>
      <w:r w:rsidR="00F57375" w:rsidRPr="007E6D79">
        <w:rPr>
          <w:rFonts w:ascii="Trebuchet MS" w:hAnsi="Trebuchet MS" w:cs="Arial"/>
        </w:rPr>
        <w:t xml:space="preserve"> 6 AVRAG).</w:t>
      </w:r>
    </w:p>
    <w:p w:rsidR="00852FAE" w:rsidRPr="007E6D79" w:rsidRDefault="00852FAE" w:rsidP="00747D97">
      <w:pPr>
        <w:spacing w:line="240" w:lineRule="auto"/>
        <w:rPr>
          <w:rFonts w:ascii="Trebuchet MS" w:hAnsi="Trebuchet MS" w:cs="Arial"/>
        </w:rPr>
      </w:pPr>
      <w:r w:rsidRPr="007E6D79">
        <w:rPr>
          <w:rFonts w:ascii="Trebuchet MS" w:hAnsi="Trebuchet MS" w:cs="Arial"/>
        </w:rPr>
        <w:t>Neben den Regeln zur Unterentlohnung nimmt der neue Entsendebegriff sehr viel Raum ein. Im Sinne der Praxis werden Meldepflichten entschärft</w:t>
      </w:r>
      <w:r w:rsidR="00AD27AA" w:rsidRPr="007E6D79">
        <w:rPr>
          <w:rFonts w:ascii="Trebuchet MS" w:hAnsi="Trebuchet MS" w:cs="Arial"/>
        </w:rPr>
        <w:t xml:space="preserve"> und Ausnahmen etwa für Schulungen geklärt.</w:t>
      </w:r>
    </w:p>
    <w:p w:rsidR="00852FAE" w:rsidRPr="007E6D79" w:rsidRDefault="00852FAE" w:rsidP="00747D97">
      <w:pPr>
        <w:spacing w:line="240" w:lineRule="auto"/>
        <w:rPr>
          <w:rFonts w:ascii="Trebuchet MS" w:hAnsi="Trebuchet MS" w:cs="Arial"/>
        </w:rPr>
      </w:pPr>
      <w:r w:rsidRPr="007E6D79">
        <w:rPr>
          <w:rFonts w:ascii="Trebuchet MS" w:hAnsi="Trebuchet MS" w:cs="Arial"/>
        </w:rPr>
        <w:t>Das 90seitige (!) Dokument hat folgende Kapitel:</w:t>
      </w:r>
    </w:p>
    <w:p w:rsidR="007F081F" w:rsidRPr="007E6D79" w:rsidRDefault="007F081F" w:rsidP="007F081F">
      <w:pPr>
        <w:numPr>
          <w:ilvl w:val="0"/>
          <w:numId w:val="3"/>
        </w:numPr>
        <w:spacing w:after="120"/>
        <w:ind w:left="284" w:hanging="284"/>
        <w:rPr>
          <w:rFonts w:ascii="Trebuchet MS" w:eastAsia="Calibri" w:hAnsi="Trebuchet MS" w:cs="Arial"/>
        </w:rPr>
      </w:pPr>
      <w:r w:rsidRPr="007E6D79">
        <w:rPr>
          <w:rFonts w:ascii="Trebuchet MS" w:eastAsia="Calibri" w:hAnsi="Trebuchet MS" w:cs="Arial"/>
        </w:rPr>
        <w:t>Einleitung – Zwecksetzung des LSDB-G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1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2)</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Prüfzuständigkeiten zur Lohnkontrolle – Überblick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3)</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Prüfzuständigkeit des Kompetenzzentrums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4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6)</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Entsendung nach Österreich – Entsendebegriff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7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9)</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Entsendemeldung und damit zusammenhängende Pflichten – Verwaltungsstrafen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10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16)</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Weitere Pflichten des/der ausländischen Arbeitgeber/in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17)</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Entgeltansprüche der entsandten Arbeitnehmer/innen – Entgeltbegriff der §§ 7a und 7b AVRAG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18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23)</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Überlassung von Arbeitnehmer/innen nach Österreich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24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33)</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bCs/>
        </w:rPr>
        <w:t xml:space="preserve">Kompetenzzentrum – Lohnkontrolle und Strafanzeige </w:t>
      </w:r>
      <w:r w:rsidRPr="007E6D79">
        <w:rPr>
          <w:rFonts w:ascii="Trebuchet MS" w:eastAsia="Calibri" w:hAnsi="Trebuchet MS" w:cs="Arial"/>
        </w:rPr>
        <w:t>(</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34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49)</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lang w:val="de-DE"/>
        </w:rPr>
        <w:t xml:space="preserve">Nachsichtregelungen im LSDB-G neu </w:t>
      </w:r>
      <w:r w:rsidRPr="007E6D79">
        <w:rPr>
          <w:rFonts w:ascii="Trebuchet MS" w:eastAsia="Calibri" w:hAnsi="Trebuchet MS" w:cs="Arial"/>
        </w:rPr>
        <w:t>(</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50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58)</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Strafanzeige wegen Unterentlohnung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59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68)</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lang w:val="de-DE"/>
        </w:rPr>
        <w:t xml:space="preserve">Zeitlicher Geltungsbereich des LSDB-G neu </w:t>
      </w:r>
      <w:r w:rsidRPr="007E6D79">
        <w:rPr>
          <w:rFonts w:ascii="Trebuchet MS" w:eastAsia="Calibri" w:hAnsi="Trebuchet MS" w:cs="Arial"/>
        </w:rPr>
        <w:t>(</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69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70)</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bCs/>
          <w:lang w:val="de-DE"/>
        </w:rPr>
        <w:t xml:space="preserve">Untersagung der Dienstleistung </w:t>
      </w:r>
      <w:r w:rsidRPr="007E6D79">
        <w:rPr>
          <w:rFonts w:ascii="Trebuchet MS" w:eastAsia="Calibri" w:hAnsi="Trebuchet MS" w:cs="Arial"/>
        </w:rPr>
        <w:t>(</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71)</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Evidenz über Verwaltungsstrafverfahren und Auskunftserteilung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72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77)</w:t>
      </w:r>
    </w:p>
    <w:p w:rsidR="007F081F" w:rsidRPr="007E6D79" w:rsidRDefault="007F081F" w:rsidP="007F081F">
      <w:pPr>
        <w:numPr>
          <w:ilvl w:val="0"/>
          <w:numId w:val="3"/>
        </w:numPr>
        <w:tabs>
          <w:tab w:val="left" w:pos="284"/>
        </w:tabs>
        <w:autoSpaceDE w:val="0"/>
        <w:autoSpaceDN w:val="0"/>
        <w:adjustRightInd w:val="0"/>
        <w:spacing w:after="120"/>
        <w:ind w:left="426" w:hanging="426"/>
        <w:rPr>
          <w:rFonts w:ascii="Trebuchet MS" w:eastAsia="Calibri" w:hAnsi="Trebuchet MS" w:cs="Arial"/>
        </w:rPr>
      </w:pPr>
      <w:r w:rsidRPr="007E6D79">
        <w:rPr>
          <w:rFonts w:ascii="Trebuchet MS" w:eastAsia="Calibri" w:hAnsi="Trebuchet MS" w:cs="Arial"/>
        </w:rPr>
        <w:t>Auskunftserteilung durch das Kompetenzzentrum an öffentliche Auftraggeber/innen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78 bis </w:t>
      </w:r>
      <w:proofErr w:type="spellStart"/>
      <w:r w:rsidRPr="007E6D79">
        <w:rPr>
          <w:rFonts w:ascii="Trebuchet MS" w:eastAsia="Calibri" w:hAnsi="Trebuchet MS" w:cs="Arial"/>
        </w:rPr>
        <w:t>Rz</w:t>
      </w:r>
      <w:proofErr w:type="spellEnd"/>
      <w:r w:rsidRPr="007E6D79">
        <w:rPr>
          <w:rFonts w:ascii="Trebuchet MS" w:eastAsia="Calibri" w:hAnsi="Trebuchet MS" w:cs="Arial"/>
        </w:rPr>
        <w:t xml:space="preserve"> 88)</w:t>
      </w:r>
    </w:p>
    <w:p w:rsidR="007F081F" w:rsidRPr="007E6D79" w:rsidRDefault="007F081F" w:rsidP="00747D97">
      <w:pPr>
        <w:spacing w:line="240" w:lineRule="auto"/>
        <w:rPr>
          <w:rFonts w:ascii="Trebuchet MS" w:hAnsi="Trebuchet MS" w:cs="Arial"/>
        </w:rPr>
      </w:pPr>
    </w:p>
    <w:p w:rsidR="00852FAE" w:rsidRPr="007E6D79" w:rsidRDefault="00852FAE" w:rsidP="00747D97">
      <w:pPr>
        <w:spacing w:line="240" w:lineRule="auto"/>
        <w:rPr>
          <w:rFonts w:ascii="Trebuchet MS" w:hAnsi="Trebuchet MS" w:cs="Arial"/>
        </w:rPr>
      </w:pPr>
      <w:r w:rsidRPr="007E6D79">
        <w:rPr>
          <w:rFonts w:ascii="Trebuchet MS" w:hAnsi="Trebuchet MS" w:cs="Arial"/>
        </w:rPr>
        <w:t>Hervorzuheben</w:t>
      </w:r>
      <w:r w:rsidR="00AD27AA" w:rsidRPr="007E6D79">
        <w:rPr>
          <w:rFonts w:ascii="Trebuchet MS" w:hAnsi="Trebuchet MS" w:cs="Arial"/>
        </w:rPr>
        <w:t xml:space="preserve"> sind folgende Randziffern:</w:t>
      </w:r>
    </w:p>
    <w:p w:rsidR="00AD27AA" w:rsidRPr="007E6D79" w:rsidRDefault="00AD27AA" w:rsidP="00747D97">
      <w:pPr>
        <w:spacing w:line="240" w:lineRule="auto"/>
        <w:rPr>
          <w:rFonts w:ascii="Trebuchet MS" w:hAnsi="Trebuchet MS" w:cs="Arial"/>
          <w:b/>
        </w:rPr>
      </w:pPr>
      <w:proofErr w:type="spellStart"/>
      <w:r w:rsidRPr="007E6D79">
        <w:rPr>
          <w:rFonts w:ascii="Trebuchet MS" w:hAnsi="Trebuchet MS" w:cs="Arial"/>
          <w:b/>
        </w:rPr>
        <w:t>Rz</w:t>
      </w:r>
      <w:proofErr w:type="spellEnd"/>
      <w:r w:rsidRPr="007E6D79">
        <w:rPr>
          <w:rFonts w:ascii="Trebuchet MS" w:hAnsi="Trebuchet MS" w:cs="Arial"/>
          <w:b/>
        </w:rPr>
        <w:t xml:space="preserve"> 6 </w:t>
      </w:r>
      <w:r w:rsidR="00337486" w:rsidRPr="007E6D79">
        <w:rPr>
          <w:rFonts w:ascii="Trebuchet MS" w:hAnsi="Trebuchet MS" w:cs="Arial"/>
          <w:b/>
        </w:rPr>
        <w:t>AN-Begriff</w:t>
      </w:r>
    </w:p>
    <w:p w:rsidR="003B2C5F" w:rsidRPr="007E6D79" w:rsidRDefault="00AD27AA" w:rsidP="00747D97">
      <w:pPr>
        <w:spacing w:line="240" w:lineRule="auto"/>
        <w:rPr>
          <w:rFonts w:ascii="Trebuchet MS" w:hAnsi="Trebuchet MS" w:cs="Arial"/>
        </w:rPr>
      </w:pPr>
      <w:r w:rsidRPr="007E6D79">
        <w:rPr>
          <w:rFonts w:ascii="Trebuchet MS" w:hAnsi="Trebuchet MS" w:cs="Arial"/>
        </w:rPr>
        <w:t>Da der wahre wirtschaftliche Gehalt zählt, fallen auch Scheinselbständige unter das Gesetz. Das Vorliegen eines Arbeitsverhältnisses ist eine Vorfrage nach Maßgabe von § 38 AVG. Demnach kann die Behörde das Verfahren bis zur Entscheidung durch das Gericht aussetzen.</w:t>
      </w:r>
    </w:p>
    <w:p w:rsidR="00885CD4" w:rsidRPr="007E6D79" w:rsidRDefault="00885CD4" w:rsidP="00747D97">
      <w:pPr>
        <w:spacing w:line="240" w:lineRule="auto"/>
        <w:rPr>
          <w:rFonts w:ascii="Trebuchet MS" w:hAnsi="Trebuchet MS" w:cs="Arial"/>
          <w:b/>
        </w:rPr>
      </w:pPr>
      <w:proofErr w:type="spellStart"/>
      <w:r w:rsidRPr="007E6D79">
        <w:rPr>
          <w:rFonts w:ascii="Trebuchet MS" w:hAnsi="Trebuchet MS" w:cs="Arial"/>
          <w:b/>
        </w:rPr>
        <w:t>Rz</w:t>
      </w:r>
      <w:proofErr w:type="spellEnd"/>
      <w:r w:rsidRPr="007E6D79">
        <w:rPr>
          <w:rFonts w:ascii="Trebuchet MS" w:hAnsi="Trebuchet MS" w:cs="Arial"/>
          <w:b/>
        </w:rPr>
        <w:t xml:space="preserve"> 7 Entsendungen</w:t>
      </w:r>
    </w:p>
    <w:p w:rsidR="00885CD4" w:rsidRPr="007E6D79" w:rsidRDefault="00885CD4" w:rsidP="00885CD4">
      <w:pPr>
        <w:spacing w:line="240" w:lineRule="auto"/>
        <w:rPr>
          <w:rFonts w:ascii="Trebuchet MS" w:eastAsia="Calibri" w:hAnsi="Trebuchet MS" w:cs="Arial"/>
          <w:bCs/>
          <w:lang w:val="de-DE"/>
        </w:rPr>
      </w:pPr>
      <w:r w:rsidRPr="007E6D79">
        <w:rPr>
          <w:rFonts w:ascii="Trebuchet MS" w:eastAsia="Calibri" w:hAnsi="Trebuchet MS" w:cs="Arial"/>
          <w:bCs/>
          <w:lang w:val="de-DE"/>
        </w:rPr>
        <w:t xml:space="preserve">Die Definition im AVRAG wurde zwar präzisiert, dennoch ist die Abgrenzung kompliziert. Hervorzuheben ist der drittletzte Absatz der </w:t>
      </w:r>
      <w:proofErr w:type="spellStart"/>
      <w:r w:rsidRPr="007E6D79">
        <w:rPr>
          <w:rFonts w:ascii="Trebuchet MS" w:eastAsia="Calibri" w:hAnsi="Trebuchet MS" w:cs="Arial"/>
          <w:bCs/>
          <w:lang w:val="de-DE"/>
        </w:rPr>
        <w:t>Rz</w:t>
      </w:r>
      <w:proofErr w:type="spellEnd"/>
      <w:r w:rsidRPr="007E6D79">
        <w:rPr>
          <w:rFonts w:ascii="Trebuchet MS" w:eastAsia="Calibri" w:hAnsi="Trebuchet MS" w:cs="Arial"/>
          <w:bCs/>
          <w:lang w:val="de-DE"/>
        </w:rPr>
        <w:t xml:space="preserve"> 7: Unabhängig vom Ausnahmekatalog nach § 7b </w:t>
      </w:r>
      <w:proofErr w:type="spellStart"/>
      <w:r w:rsidRPr="007E6D79">
        <w:rPr>
          <w:rFonts w:ascii="Trebuchet MS" w:eastAsia="Calibri" w:hAnsi="Trebuchet MS" w:cs="Arial"/>
          <w:bCs/>
          <w:lang w:val="de-DE"/>
        </w:rPr>
        <w:t>Abs</w:t>
      </w:r>
      <w:proofErr w:type="spellEnd"/>
      <w:r w:rsidRPr="007E6D79">
        <w:rPr>
          <w:rFonts w:ascii="Trebuchet MS" w:eastAsia="Calibri" w:hAnsi="Trebuchet MS" w:cs="Arial"/>
          <w:bCs/>
          <w:lang w:val="de-DE"/>
        </w:rPr>
        <w:t xml:space="preserve"> 1a AVRAG (s. </w:t>
      </w:r>
      <w:proofErr w:type="spellStart"/>
      <w:r w:rsidRPr="007E6D79">
        <w:rPr>
          <w:rFonts w:ascii="Trebuchet MS" w:eastAsia="Calibri" w:hAnsi="Trebuchet MS" w:cs="Arial"/>
          <w:bCs/>
          <w:lang w:val="de-DE"/>
        </w:rPr>
        <w:t>Rz</w:t>
      </w:r>
      <w:proofErr w:type="spellEnd"/>
      <w:r w:rsidRPr="007E6D79">
        <w:rPr>
          <w:rFonts w:ascii="Trebuchet MS" w:eastAsia="Calibri" w:hAnsi="Trebuchet MS" w:cs="Arial"/>
          <w:bCs/>
          <w:lang w:val="de-DE"/>
        </w:rPr>
        <w:t xml:space="preserve"> 8) sind auch solche Leistungen </w:t>
      </w:r>
      <w:r w:rsidRPr="007E6D79">
        <w:rPr>
          <w:rFonts w:ascii="Trebuchet MS" w:eastAsia="Calibri" w:hAnsi="Trebuchet MS" w:cs="Arial"/>
          <w:bCs/>
          <w:u w:val="single"/>
          <w:lang w:val="de-DE"/>
        </w:rPr>
        <w:t>keine</w:t>
      </w:r>
      <w:r w:rsidRPr="007E6D79">
        <w:rPr>
          <w:rFonts w:ascii="Trebuchet MS" w:eastAsia="Calibri" w:hAnsi="Trebuchet MS" w:cs="Arial"/>
          <w:bCs/>
          <w:lang w:val="de-DE"/>
        </w:rPr>
        <w:t xml:space="preserve"> Entsendung, die sich kaum auf den inländischen Arbeitsmarkt auswirken, z.B. längere Schulungen.</w:t>
      </w:r>
      <w:r w:rsidR="008A68D5">
        <w:rPr>
          <w:rFonts w:ascii="Trebuchet MS" w:eastAsia="Calibri" w:hAnsi="Trebuchet MS" w:cs="Arial"/>
          <w:bCs/>
          <w:lang w:val="de-DE"/>
        </w:rPr>
        <w:t xml:space="preserve"> Siehe auch </w:t>
      </w:r>
      <w:proofErr w:type="spellStart"/>
      <w:r w:rsidR="008A68D5">
        <w:rPr>
          <w:rFonts w:ascii="Trebuchet MS" w:eastAsia="Calibri" w:hAnsi="Trebuchet MS" w:cs="Arial"/>
          <w:bCs/>
          <w:lang w:val="de-DE"/>
        </w:rPr>
        <w:t>Rz</w:t>
      </w:r>
      <w:proofErr w:type="spellEnd"/>
      <w:r w:rsidR="008A68D5">
        <w:rPr>
          <w:rFonts w:ascii="Trebuchet MS" w:eastAsia="Calibri" w:hAnsi="Trebuchet MS" w:cs="Arial"/>
          <w:bCs/>
          <w:lang w:val="de-DE"/>
        </w:rPr>
        <w:t xml:space="preserve"> 26</w:t>
      </w:r>
    </w:p>
    <w:p w:rsidR="003B2C5F" w:rsidRPr="007E6D79" w:rsidRDefault="003B2C5F" w:rsidP="00747D97">
      <w:pPr>
        <w:spacing w:line="240" w:lineRule="auto"/>
        <w:rPr>
          <w:rFonts w:ascii="Trebuchet MS" w:hAnsi="Trebuchet MS" w:cs="Arial"/>
          <w:b/>
        </w:rPr>
      </w:pPr>
      <w:proofErr w:type="spellStart"/>
      <w:r w:rsidRPr="007E6D79">
        <w:rPr>
          <w:rFonts w:ascii="Trebuchet MS" w:hAnsi="Trebuchet MS" w:cs="Arial"/>
          <w:b/>
        </w:rPr>
        <w:lastRenderedPageBreak/>
        <w:t>Rz</w:t>
      </w:r>
      <w:proofErr w:type="spellEnd"/>
      <w:r w:rsidRPr="007E6D79">
        <w:rPr>
          <w:rFonts w:ascii="Trebuchet MS" w:hAnsi="Trebuchet MS" w:cs="Arial"/>
          <w:b/>
        </w:rPr>
        <w:t xml:space="preserve"> 8 Entsendung: ausgenommene kurzfristige Arbeiten</w:t>
      </w:r>
    </w:p>
    <w:p w:rsidR="003B2C5F" w:rsidRPr="007E6D79" w:rsidRDefault="003B2C5F" w:rsidP="00747D97">
      <w:pPr>
        <w:spacing w:line="240" w:lineRule="auto"/>
        <w:rPr>
          <w:rFonts w:ascii="Trebuchet MS" w:hAnsi="Trebuchet MS" w:cs="Arial"/>
        </w:rPr>
      </w:pPr>
      <w:r w:rsidRPr="007E6D79">
        <w:rPr>
          <w:rFonts w:ascii="Trebuchet MS" w:hAnsi="Trebuchet MS" w:cs="Arial"/>
        </w:rPr>
        <w:t xml:space="preserve">Arbeiten auf Messen </w:t>
      </w:r>
      <w:proofErr w:type="spellStart"/>
      <w:r w:rsidRPr="007E6D79">
        <w:rPr>
          <w:rFonts w:ascii="Trebuchet MS" w:hAnsi="Trebuchet MS" w:cs="Arial"/>
        </w:rPr>
        <w:t>iSv</w:t>
      </w:r>
      <w:proofErr w:type="spellEnd"/>
      <w:r w:rsidRPr="007E6D79">
        <w:rPr>
          <w:rFonts w:ascii="Trebuchet MS" w:hAnsi="Trebuchet MS" w:cs="Arial"/>
        </w:rPr>
        <w:t xml:space="preserve"> § 17 </w:t>
      </w:r>
      <w:proofErr w:type="spellStart"/>
      <w:r w:rsidRPr="007E6D79">
        <w:rPr>
          <w:rFonts w:ascii="Trebuchet MS" w:hAnsi="Trebuchet MS" w:cs="Arial"/>
        </w:rPr>
        <w:t>Abs</w:t>
      </w:r>
      <w:proofErr w:type="spellEnd"/>
      <w:r w:rsidRPr="007E6D79">
        <w:rPr>
          <w:rFonts w:ascii="Trebuchet MS" w:hAnsi="Trebuchet MS" w:cs="Arial"/>
        </w:rPr>
        <w:t xml:space="preserve"> 3 bis 6 ARG) sind ausgenommen, nicht jedoch Märkte (Kirtage, etc.).</w:t>
      </w:r>
    </w:p>
    <w:p w:rsidR="00885CD4" w:rsidRPr="007E6D79" w:rsidRDefault="007E6D79" w:rsidP="00747D97">
      <w:pPr>
        <w:spacing w:line="240" w:lineRule="auto"/>
        <w:rPr>
          <w:rFonts w:ascii="Trebuchet MS" w:hAnsi="Trebuchet MS" w:cs="Arial"/>
          <w:b/>
        </w:rPr>
      </w:pPr>
      <w:proofErr w:type="spellStart"/>
      <w:r w:rsidRPr="007E6D79">
        <w:rPr>
          <w:rFonts w:ascii="Trebuchet MS" w:hAnsi="Trebuchet MS" w:cs="Arial"/>
          <w:b/>
        </w:rPr>
        <w:t>Rz</w:t>
      </w:r>
      <w:proofErr w:type="spellEnd"/>
      <w:r w:rsidRPr="007E6D79">
        <w:rPr>
          <w:rFonts w:ascii="Trebuchet MS" w:hAnsi="Trebuchet MS" w:cs="Arial"/>
          <w:b/>
        </w:rPr>
        <w:t xml:space="preserve"> 11 </w:t>
      </w:r>
      <w:r w:rsidRPr="007E6D79">
        <w:rPr>
          <w:rFonts w:ascii="Trebuchet MS" w:eastAsia="Calibri" w:hAnsi="Trebuchet MS" w:cs="Arial"/>
          <w:b/>
          <w:lang w:val="de-DE"/>
        </w:rPr>
        <w:t>Rahmenmeldung bei Entsendung aufgrund eines laufenden und längerfristigen Vertrages</w:t>
      </w:r>
    </w:p>
    <w:p w:rsidR="00885CD4" w:rsidRPr="007E6D79" w:rsidRDefault="007E6D79" w:rsidP="00747D97">
      <w:pPr>
        <w:spacing w:line="240" w:lineRule="auto"/>
        <w:rPr>
          <w:rFonts w:ascii="Trebuchet MS" w:hAnsi="Trebuchet MS" w:cs="Arial"/>
        </w:rPr>
      </w:pPr>
      <w:r w:rsidRPr="007E6D79">
        <w:rPr>
          <w:rFonts w:ascii="Trebuchet MS" w:hAnsi="Trebuchet MS" w:cs="Arial"/>
        </w:rPr>
        <w:t>Wichtige Erleichterung für internationale Konzerne: Finden viele Entsendungen aufgrund eines Vertrags (z.B. auch internationale Projektmeetings) statt, muss nicht jeder Einsatz gemeldet werden, es reicht eine Rahmenmeldung pro Quartal.</w:t>
      </w:r>
    </w:p>
    <w:p w:rsidR="003B2C5F" w:rsidRPr="007E6D79" w:rsidRDefault="003B2C5F" w:rsidP="00747D97">
      <w:pPr>
        <w:spacing w:line="240" w:lineRule="auto"/>
        <w:rPr>
          <w:rFonts w:ascii="Trebuchet MS" w:hAnsi="Trebuchet MS" w:cs="Arial"/>
          <w:b/>
        </w:rPr>
      </w:pPr>
      <w:proofErr w:type="spellStart"/>
      <w:r w:rsidRPr="007E6D79">
        <w:rPr>
          <w:rFonts w:ascii="Trebuchet MS" w:hAnsi="Trebuchet MS" w:cs="Arial"/>
          <w:b/>
        </w:rPr>
        <w:t>Rz</w:t>
      </w:r>
      <w:proofErr w:type="spellEnd"/>
      <w:r w:rsidRPr="007E6D79">
        <w:rPr>
          <w:rFonts w:ascii="Trebuchet MS" w:hAnsi="Trebuchet MS" w:cs="Arial"/>
          <w:b/>
        </w:rPr>
        <w:t xml:space="preserve"> 13 Bereithaltung von Lohnunterlagen</w:t>
      </w:r>
    </w:p>
    <w:p w:rsidR="003B2C5F" w:rsidRPr="007E6D79" w:rsidRDefault="003B2C5F" w:rsidP="00747D97">
      <w:pPr>
        <w:spacing w:line="240" w:lineRule="auto"/>
        <w:rPr>
          <w:rFonts w:ascii="Trebuchet MS" w:hAnsi="Trebuchet MS" w:cs="Arial"/>
        </w:rPr>
      </w:pPr>
      <w:r w:rsidRPr="007E6D79">
        <w:rPr>
          <w:rFonts w:ascii="Trebuchet MS" w:hAnsi="Trebuchet MS" w:cs="Arial"/>
        </w:rPr>
        <w:t xml:space="preserve">Diese können auch elektronisch bereitgehalten werden. </w:t>
      </w:r>
    </w:p>
    <w:p w:rsidR="00AD27AA" w:rsidRPr="007E6D79" w:rsidRDefault="003B2C5F" w:rsidP="00747D97">
      <w:pPr>
        <w:spacing w:line="240" w:lineRule="auto"/>
        <w:rPr>
          <w:rFonts w:ascii="Trebuchet MS" w:hAnsi="Trebuchet MS" w:cs="Arial"/>
          <w:b/>
        </w:rPr>
      </w:pPr>
      <w:proofErr w:type="spellStart"/>
      <w:r w:rsidRPr="007E6D79">
        <w:rPr>
          <w:rFonts w:ascii="Trebuchet MS" w:hAnsi="Trebuchet MS" w:cs="Arial"/>
          <w:b/>
        </w:rPr>
        <w:t>Rz</w:t>
      </w:r>
      <w:proofErr w:type="spellEnd"/>
      <w:r w:rsidRPr="007E6D79">
        <w:rPr>
          <w:rFonts w:ascii="Trebuchet MS" w:hAnsi="Trebuchet MS" w:cs="Arial"/>
          <w:b/>
        </w:rPr>
        <w:t xml:space="preserve"> 15 Unzumutbarkeit der Bereithaltung der Lohnunterlagen vor Ort</w:t>
      </w:r>
      <w:r w:rsidR="00AD27AA" w:rsidRPr="007E6D79">
        <w:rPr>
          <w:rFonts w:ascii="Trebuchet MS" w:hAnsi="Trebuchet MS" w:cs="Arial"/>
          <w:b/>
        </w:rPr>
        <w:t xml:space="preserve"> </w:t>
      </w:r>
    </w:p>
    <w:p w:rsidR="003B2C5F" w:rsidRPr="007E6D79" w:rsidRDefault="003B2C5F" w:rsidP="008A68D5">
      <w:pPr>
        <w:spacing w:after="0" w:line="240" w:lineRule="auto"/>
        <w:rPr>
          <w:rFonts w:ascii="Trebuchet MS" w:hAnsi="Trebuchet MS" w:cs="Arial"/>
        </w:rPr>
      </w:pPr>
      <w:r w:rsidRPr="007E6D79">
        <w:rPr>
          <w:rFonts w:ascii="Trebuchet MS" w:hAnsi="Trebuchet MS" w:cs="Arial"/>
        </w:rPr>
        <w:t>Diese sind am Arbeitsort bereitzuhalten. Alternativen zum Arbeitsort sind</w:t>
      </w:r>
    </w:p>
    <w:p w:rsidR="003B2C5F" w:rsidRPr="007E6D79" w:rsidRDefault="003B2C5F" w:rsidP="008A68D5">
      <w:pPr>
        <w:numPr>
          <w:ilvl w:val="0"/>
          <w:numId w:val="2"/>
        </w:numPr>
        <w:spacing w:after="0" w:line="240" w:lineRule="auto"/>
        <w:ind w:left="284" w:hanging="284"/>
        <w:rPr>
          <w:rFonts w:ascii="Trebuchet MS" w:eastAsia="Calibri" w:hAnsi="Trebuchet MS" w:cs="Arial"/>
          <w:color w:val="333333"/>
        </w:rPr>
      </w:pPr>
      <w:r w:rsidRPr="007E6D79">
        <w:rPr>
          <w:rFonts w:ascii="Trebuchet MS" w:eastAsia="Calibri" w:hAnsi="Trebuchet MS" w:cs="Arial"/>
          <w:color w:val="333333"/>
        </w:rPr>
        <w:t xml:space="preserve">eine </w:t>
      </w:r>
      <w:r w:rsidRPr="007E6D79">
        <w:rPr>
          <w:rFonts w:ascii="Trebuchet MS" w:eastAsia="Calibri" w:hAnsi="Trebuchet MS" w:cs="Arial"/>
          <w:bCs/>
          <w:color w:val="333333"/>
        </w:rPr>
        <w:t>eingetragenen Zweigniederlassung im Inland</w:t>
      </w:r>
    </w:p>
    <w:p w:rsidR="003B2C5F" w:rsidRPr="007E6D79" w:rsidRDefault="003B2C5F" w:rsidP="008A68D5">
      <w:pPr>
        <w:numPr>
          <w:ilvl w:val="0"/>
          <w:numId w:val="2"/>
        </w:numPr>
        <w:spacing w:after="0" w:line="240" w:lineRule="auto"/>
        <w:ind w:left="284" w:hanging="284"/>
        <w:rPr>
          <w:rFonts w:ascii="Trebuchet MS" w:eastAsia="Calibri" w:hAnsi="Trebuchet MS" w:cs="Arial"/>
          <w:color w:val="333333"/>
        </w:rPr>
      </w:pPr>
      <w:r w:rsidRPr="007E6D79">
        <w:rPr>
          <w:rFonts w:ascii="Trebuchet MS" w:eastAsia="Calibri" w:hAnsi="Trebuchet MS" w:cs="Arial"/>
          <w:bCs/>
          <w:color w:val="333333"/>
        </w:rPr>
        <w:t>eine selbständige Tochtergesellschaft oder das Headquarter eines Konzerns</w:t>
      </w:r>
    </w:p>
    <w:p w:rsidR="003B2C5F" w:rsidRDefault="003B2C5F" w:rsidP="008A68D5">
      <w:pPr>
        <w:numPr>
          <w:ilvl w:val="0"/>
          <w:numId w:val="2"/>
        </w:numPr>
        <w:spacing w:after="0" w:line="240" w:lineRule="auto"/>
        <w:ind w:left="284" w:hanging="284"/>
        <w:rPr>
          <w:rFonts w:ascii="Trebuchet MS" w:eastAsia="Calibri" w:hAnsi="Trebuchet MS" w:cs="Arial"/>
          <w:bCs/>
          <w:color w:val="333333"/>
        </w:rPr>
      </w:pPr>
      <w:r w:rsidRPr="007E6D79">
        <w:rPr>
          <w:rFonts w:ascii="Trebuchet MS" w:eastAsia="Calibri" w:hAnsi="Trebuchet MS" w:cs="Arial"/>
          <w:color w:val="333333"/>
        </w:rPr>
        <w:t xml:space="preserve">die </w:t>
      </w:r>
      <w:r w:rsidRPr="007E6D79">
        <w:rPr>
          <w:rFonts w:ascii="Trebuchet MS" w:eastAsia="Calibri" w:hAnsi="Trebuchet MS" w:cs="Arial"/>
          <w:bCs/>
          <w:color w:val="333333"/>
        </w:rPr>
        <w:t>steuerrechtliche Vertretung im Inland.</w:t>
      </w:r>
    </w:p>
    <w:p w:rsidR="008A68D5" w:rsidRPr="007E6D79" w:rsidRDefault="008A68D5" w:rsidP="008A68D5">
      <w:pPr>
        <w:spacing w:after="0" w:line="240" w:lineRule="auto"/>
        <w:ind w:left="284"/>
        <w:rPr>
          <w:rFonts w:ascii="Trebuchet MS" w:eastAsia="Calibri" w:hAnsi="Trebuchet MS" w:cs="Arial"/>
          <w:bCs/>
          <w:color w:val="333333"/>
        </w:rPr>
      </w:pPr>
    </w:p>
    <w:p w:rsidR="003B2C5F" w:rsidRPr="007E6D79" w:rsidRDefault="00CF1CC2" w:rsidP="00747D97">
      <w:pPr>
        <w:spacing w:line="240" w:lineRule="auto"/>
        <w:rPr>
          <w:rFonts w:ascii="Trebuchet MS" w:hAnsi="Trebuchet MS" w:cs="Arial"/>
          <w:b/>
        </w:rPr>
      </w:pPr>
      <w:r w:rsidRPr="007E6D79">
        <w:rPr>
          <w:rFonts w:ascii="Trebuchet MS" w:hAnsi="Trebuchet MS" w:cs="Arial"/>
          <w:b/>
        </w:rPr>
        <w:t>RZ 17</w:t>
      </w:r>
    </w:p>
    <w:p w:rsidR="00CF1CC2" w:rsidRPr="007E6D79" w:rsidRDefault="00CF1CC2" w:rsidP="00747D97">
      <w:pPr>
        <w:spacing w:line="240" w:lineRule="auto"/>
        <w:rPr>
          <w:rFonts w:ascii="Trebuchet MS" w:hAnsi="Trebuchet MS" w:cs="Arial"/>
        </w:rPr>
      </w:pPr>
      <w:r w:rsidRPr="007E6D79">
        <w:rPr>
          <w:rFonts w:ascii="Trebuchet MS" w:hAnsi="Trebuchet MS" w:cs="Arial"/>
        </w:rPr>
        <w:t>Lohnunterlagen sind in deutscher Sprache bereitzuhalten. Ausnahme</w:t>
      </w:r>
      <w:r w:rsidR="007E6D79">
        <w:rPr>
          <w:rFonts w:ascii="Trebuchet MS" w:hAnsi="Trebuchet MS" w:cs="Arial"/>
        </w:rPr>
        <w:t>n</w:t>
      </w:r>
      <w:r w:rsidRPr="007E6D79">
        <w:rPr>
          <w:rFonts w:ascii="Trebuchet MS" w:hAnsi="Trebuchet MS" w:cs="Arial"/>
        </w:rPr>
        <w:t xml:space="preserve"> dafür gibt es für Bankbelege</w:t>
      </w:r>
      <w:r w:rsidR="007E6D79">
        <w:rPr>
          <w:rFonts w:ascii="Trebuchet MS" w:hAnsi="Trebuchet MS" w:cs="Arial"/>
        </w:rPr>
        <w:t xml:space="preserve"> und Lohnzahlungsnachweise</w:t>
      </w:r>
      <w:r w:rsidRPr="007E6D79">
        <w:rPr>
          <w:rFonts w:ascii="Trebuchet MS" w:hAnsi="Trebuchet MS" w:cs="Arial"/>
        </w:rPr>
        <w:t>.</w:t>
      </w:r>
    </w:p>
    <w:p w:rsidR="004A64A3" w:rsidRPr="002D2DCB" w:rsidRDefault="004A64A3" w:rsidP="00747D97">
      <w:pPr>
        <w:spacing w:line="240" w:lineRule="auto"/>
        <w:rPr>
          <w:rFonts w:ascii="Trebuchet MS" w:hAnsi="Trebuchet MS" w:cs="Arial"/>
          <w:b/>
          <w:u w:val="single"/>
        </w:rPr>
      </w:pPr>
      <w:proofErr w:type="spellStart"/>
      <w:r w:rsidRPr="002D2DCB">
        <w:rPr>
          <w:rFonts w:ascii="Trebuchet MS" w:hAnsi="Trebuchet MS" w:cs="Arial"/>
          <w:b/>
          <w:u w:val="single"/>
        </w:rPr>
        <w:t>Rz</w:t>
      </w:r>
      <w:proofErr w:type="spellEnd"/>
      <w:r w:rsidRPr="002D2DCB">
        <w:rPr>
          <w:rFonts w:ascii="Trebuchet MS" w:hAnsi="Trebuchet MS" w:cs="Arial"/>
          <w:b/>
          <w:u w:val="single"/>
        </w:rPr>
        <w:t xml:space="preserve"> 18</w:t>
      </w:r>
      <w:r w:rsidR="00337486" w:rsidRPr="002D2DCB">
        <w:rPr>
          <w:rFonts w:ascii="Trebuchet MS" w:hAnsi="Trebuchet MS" w:cs="Arial"/>
          <w:b/>
          <w:u w:val="single"/>
        </w:rPr>
        <w:t xml:space="preserve"> Entgeltansprüche</w:t>
      </w:r>
    </w:p>
    <w:p w:rsidR="004A64A3" w:rsidRPr="007E6D79" w:rsidRDefault="004A64A3" w:rsidP="00747D97">
      <w:pPr>
        <w:spacing w:line="240" w:lineRule="auto"/>
        <w:rPr>
          <w:rFonts w:ascii="Trebuchet MS" w:hAnsi="Trebuchet MS" w:cs="Arial"/>
        </w:rPr>
      </w:pPr>
      <w:r w:rsidRPr="007E6D79">
        <w:rPr>
          <w:rFonts w:ascii="Trebuchet MS" w:hAnsi="Trebuchet MS" w:cs="Arial"/>
        </w:rPr>
        <w:t xml:space="preserve">Die Entgeltansprüche eines nach Ö entsandten AN richten sich nach dem KV, der nach der in Ö verrichteten Arbeit der entsandten AN anwendbar wäre. Konkret also der KV, der für vergleichbare ö AN für die konkrete Arbeit in Ö gelten würde. Bei mehreren Geschäftsbereichen ist § 9 </w:t>
      </w:r>
      <w:proofErr w:type="spellStart"/>
      <w:r w:rsidRPr="007E6D79">
        <w:rPr>
          <w:rFonts w:ascii="Trebuchet MS" w:hAnsi="Trebuchet MS" w:cs="Arial"/>
        </w:rPr>
        <w:t>ArbVG</w:t>
      </w:r>
      <w:proofErr w:type="spellEnd"/>
      <w:r w:rsidRPr="007E6D79">
        <w:rPr>
          <w:rFonts w:ascii="Trebuchet MS" w:hAnsi="Trebuchet MS" w:cs="Arial"/>
        </w:rPr>
        <w:t xml:space="preserve"> anzuwenden.</w:t>
      </w:r>
    </w:p>
    <w:p w:rsidR="004A64A3" w:rsidRPr="007E6D79" w:rsidRDefault="004A64A3" w:rsidP="00747D97">
      <w:pPr>
        <w:spacing w:line="240" w:lineRule="auto"/>
        <w:rPr>
          <w:rFonts w:ascii="Trebuchet MS" w:hAnsi="Trebuchet MS" w:cs="Arial"/>
        </w:rPr>
      </w:pPr>
      <w:r w:rsidRPr="007E6D79">
        <w:rPr>
          <w:rFonts w:ascii="Trebuchet MS" w:hAnsi="Trebuchet MS" w:cs="Arial"/>
        </w:rPr>
        <w:t xml:space="preserve">Das Bruttoentgelt entsprechend KV ist entscheidend. Gilt für den entsandten AN ausländisches </w:t>
      </w:r>
      <w:r w:rsidR="007E6D79">
        <w:rPr>
          <w:rFonts w:ascii="Trebuchet MS" w:hAnsi="Trebuchet MS" w:cs="Arial"/>
        </w:rPr>
        <w:t>S</w:t>
      </w:r>
      <w:r w:rsidRPr="007E6D79">
        <w:rPr>
          <w:rFonts w:ascii="Trebuchet MS" w:hAnsi="Trebuchet MS" w:cs="Arial"/>
        </w:rPr>
        <w:t>V-Recht, ist im Krankheitsfall Entgeltfortzahlung nach dem Recht des Entsendestaats zu leisten. Das BMASK geht somit davon aus, dass die Entgeltfortzahlung unter den Entgeltbegriff und damit die Strafbarkeit fällt.</w:t>
      </w:r>
    </w:p>
    <w:p w:rsidR="00337486" w:rsidRPr="007E6D79" w:rsidRDefault="00337486" w:rsidP="00747D97">
      <w:pPr>
        <w:spacing w:line="240" w:lineRule="auto"/>
        <w:rPr>
          <w:rFonts w:ascii="Trebuchet MS" w:hAnsi="Trebuchet MS" w:cs="Arial"/>
          <w:b/>
        </w:rPr>
      </w:pPr>
      <w:proofErr w:type="spellStart"/>
      <w:r w:rsidRPr="007E6D79">
        <w:rPr>
          <w:rFonts w:ascii="Trebuchet MS" w:hAnsi="Trebuchet MS" w:cs="Arial"/>
          <w:b/>
        </w:rPr>
        <w:t>Rz</w:t>
      </w:r>
      <w:proofErr w:type="spellEnd"/>
      <w:r w:rsidRPr="007E6D79">
        <w:rPr>
          <w:rFonts w:ascii="Trebuchet MS" w:hAnsi="Trebuchet MS" w:cs="Arial"/>
          <w:b/>
        </w:rPr>
        <w:t xml:space="preserve"> 21 Dienstleistungen im Transportsektor</w:t>
      </w:r>
    </w:p>
    <w:p w:rsidR="00450F84" w:rsidRDefault="00450F84" w:rsidP="00747D97">
      <w:pPr>
        <w:spacing w:line="240" w:lineRule="auto"/>
        <w:rPr>
          <w:rFonts w:ascii="Trebuchet MS" w:hAnsi="Trebuchet MS" w:cs="Arial"/>
        </w:rPr>
      </w:pPr>
      <w:r w:rsidRPr="007E6D79">
        <w:rPr>
          <w:rFonts w:ascii="Trebuchet MS" w:hAnsi="Trebuchet MS" w:cs="Arial"/>
        </w:rPr>
        <w:t>Bei Kabotage liegt stets eine Entsendung vor, bei reinem Transitverkehr hingegen nicht. Endet oder beginnt der Transport in Ö, l</w:t>
      </w:r>
      <w:r w:rsidR="007E6D79">
        <w:rPr>
          <w:rFonts w:ascii="Trebuchet MS" w:hAnsi="Trebuchet MS" w:cs="Arial"/>
        </w:rPr>
        <w:t>iegt meist eine Entsendung vor.</w:t>
      </w:r>
    </w:p>
    <w:p w:rsidR="007E6D79" w:rsidRPr="007E6D79" w:rsidRDefault="007E6D79" w:rsidP="00747D97">
      <w:pPr>
        <w:spacing w:line="240" w:lineRule="auto"/>
        <w:rPr>
          <w:rFonts w:ascii="Trebuchet MS" w:hAnsi="Trebuchet MS" w:cs="Arial"/>
          <w:b/>
        </w:rPr>
      </w:pPr>
      <w:proofErr w:type="spellStart"/>
      <w:r w:rsidRPr="007E6D79">
        <w:rPr>
          <w:rFonts w:ascii="Trebuchet MS" w:hAnsi="Trebuchet MS" w:cs="Arial"/>
          <w:b/>
        </w:rPr>
        <w:t>Rz</w:t>
      </w:r>
      <w:proofErr w:type="spellEnd"/>
      <w:r w:rsidRPr="007E6D79">
        <w:rPr>
          <w:rFonts w:ascii="Trebuchet MS" w:hAnsi="Trebuchet MS" w:cs="Arial"/>
          <w:b/>
        </w:rPr>
        <w:t xml:space="preserve"> 26 </w:t>
      </w:r>
      <w:r w:rsidR="00546872">
        <w:rPr>
          <w:rFonts w:ascii="Trebuchet MS" w:hAnsi="Trebuchet MS" w:cs="Arial"/>
          <w:b/>
        </w:rPr>
        <w:t>Schulung von AN aus dem Ausland in Ö Unternehmen</w:t>
      </w:r>
    </w:p>
    <w:p w:rsidR="007E6D79" w:rsidRPr="007E6D79" w:rsidRDefault="00546872" w:rsidP="00747D97">
      <w:pPr>
        <w:spacing w:line="240" w:lineRule="auto"/>
        <w:rPr>
          <w:rFonts w:ascii="Trebuchet MS" w:hAnsi="Trebuchet MS" w:cs="Arial"/>
        </w:rPr>
      </w:pPr>
      <w:r>
        <w:rPr>
          <w:rFonts w:ascii="Trebuchet MS" w:hAnsi="Trebuchet MS" w:cs="Arial"/>
        </w:rPr>
        <w:t xml:space="preserve">Nachdem der Ausnahmekatalog </w:t>
      </w:r>
      <w:r w:rsidRPr="007E6D79">
        <w:rPr>
          <w:rFonts w:ascii="Trebuchet MS" w:eastAsia="Calibri" w:hAnsi="Trebuchet MS" w:cs="Arial"/>
          <w:bCs/>
          <w:lang w:val="de-DE"/>
        </w:rPr>
        <w:t xml:space="preserve">nach § 7b </w:t>
      </w:r>
      <w:proofErr w:type="spellStart"/>
      <w:r w:rsidRPr="007E6D79">
        <w:rPr>
          <w:rFonts w:ascii="Trebuchet MS" w:eastAsia="Calibri" w:hAnsi="Trebuchet MS" w:cs="Arial"/>
          <w:bCs/>
          <w:lang w:val="de-DE"/>
        </w:rPr>
        <w:t>Abs</w:t>
      </w:r>
      <w:proofErr w:type="spellEnd"/>
      <w:r w:rsidRPr="007E6D79">
        <w:rPr>
          <w:rFonts w:ascii="Trebuchet MS" w:eastAsia="Calibri" w:hAnsi="Trebuchet MS" w:cs="Arial"/>
          <w:bCs/>
          <w:lang w:val="de-DE"/>
        </w:rPr>
        <w:t xml:space="preserve"> 1a AVRAG (s. </w:t>
      </w:r>
      <w:proofErr w:type="spellStart"/>
      <w:r w:rsidRPr="007E6D79">
        <w:rPr>
          <w:rFonts w:ascii="Trebuchet MS" w:eastAsia="Calibri" w:hAnsi="Trebuchet MS" w:cs="Arial"/>
          <w:bCs/>
          <w:lang w:val="de-DE"/>
        </w:rPr>
        <w:t>Rz</w:t>
      </w:r>
      <w:proofErr w:type="spellEnd"/>
      <w:r w:rsidRPr="007E6D79">
        <w:rPr>
          <w:rFonts w:ascii="Trebuchet MS" w:eastAsia="Calibri" w:hAnsi="Trebuchet MS" w:cs="Arial"/>
          <w:bCs/>
          <w:lang w:val="de-DE"/>
        </w:rPr>
        <w:t xml:space="preserve"> 8) </w:t>
      </w:r>
      <w:r>
        <w:rPr>
          <w:rFonts w:ascii="Trebuchet MS" w:eastAsia="Calibri" w:hAnsi="Trebuchet MS" w:cs="Arial"/>
          <w:bCs/>
          <w:lang w:val="de-DE"/>
        </w:rPr>
        <w:t xml:space="preserve">nur kurzfristige Einsätze erfasst, stellt </w:t>
      </w:r>
      <w:proofErr w:type="spellStart"/>
      <w:r>
        <w:rPr>
          <w:rFonts w:ascii="Trebuchet MS" w:eastAsia="Calibri" w:hAnsi="Trebuchet MS" w:cs="Arial"/>
          <w:bCs/>
          <w:lang w:val="de-DE"/>
        </w:rPr>
        <w:t>Rz</w:t>
      </w:r>
      <w:proofErr w:type="spellEnd"/>
      <w:r>
        <w:rPr>
          <w:rFonts w:ascii="Trebuchet MS" w:eastAsia="Calibri" w:hAnsi="Trebuchet MS" w:cs="Arial"/>
          <w:bCs/>
          <w:lang w:val="de-DE"/>
        </w:rPr>
        <w:t xml:space="preserve"> 26 klar, dass auch längerfristige Schulungen in Ö v</w:t>
      </w:r>
      <w:r w:rsidR="004B0C8F">
        <w:rPr>
          <w:rFonts w:ascii="Trebuchet MS" w:hAnsi="Trebuchet MS" w:cs="Arial"/>
        </w:rPr>
        <w:t xml:space="preserve">on den Pflichten rund um die Entsendung </w:t>
      </w:r>
      <w:r>
        <w:rPr>
          <w:rFonts w:ascii="Trebuchet MS" w:hAnsi="Trebuchet MS" w:cs="Arial"/>
        </w:rPr>
        <w:t xml:space="preserve">nicht erfasst sind. Hingegen liegt eine meldepflichtige Entsendung vor, wenn die Schulung als Überlassung aus dem Ausland zu qualifizieren ist. </w:t>
      </w:r>
    </w:p>
    <w:p w:rsidR="004B0C8F" w:rsidRPr="00377CB7" w:rsidRDefault="004B0C8F" w:rsidP="00747D97">
      <w:pPr>
        <w:spacing w:line="240" w:lineRule="auto"/>
        <w:rPr>
          <w:rFonts w:ascii="Trebuchet MS" w:hAnsi="Trebuchet MS" w:cs="Arial"/>
          <w:b/>
        </w:rPr>
      </w:pPr>
      <w:proofErr w:type="spellStart"/>
      <w:r w:rsidRPr="00377CB7">
        <w:rPr>
          <w:rFonts w:ascii="Trebuchet MS" w:hAnsi="Trebuchet MS" w:cs="Arial"/>
          <w:b/>
        </w:rPr>
        <w:t>Rz</w:t>
      </w:r>
      <w:proofErr w:type="spellEnd"/>
      <w:r w:rsidRPr="00377CB7">
        <w:rPr>
          <w:rFonts w:ascii="Trebuchet MS" w:hAnsi="Trebuchet MS" w:cs="Arial"/>
          <w:b/>
        </w:rPr>
        <w:t xml:space="preserve"> 29 Entgeltansprüche überlassener AN</w:t>
      </w:r>
    </w:p>
    <w:p w:rsidR="004B0C8F" w:rsidRDefault="004B0C8F" w:rsidP="00747D97">
      <w:pPr>
        <w:spacing w:line="240" w:lineRule="auto"/>
        <w:rPr>
          <w:rFonts w:ascii="Trebuchet MS" w:hAnsi="Trebuchet MS" w:cs="Arial"/>
        </w:rPr>
      </w:pPr>
      <w:r>
        <w:rPr>
          <w:rFonts w:ascii="Trebuchet MS" w:hAnsi="Trebuchet MS" w:cs="Arial"/>
        </w:rPr>
        <w:t xml:space="preserve">Für AN, die nach Ö überlassen werden, gilt der in Ö anwendbare </w:t>
      </w:r>
      <w:proofErr w:type="spellStart"/>
      <w:r>
        <w:rPr>
          <w:rFonts w:ascii="Trebuchet MS" w:hAnsi="Trebuchet MS" w:cs="Arial"/>
        </w:rPr>
        <w:t>Beschäftiger</w:t>
      </w:r>
      <w:proofErr w:type="spellEnd"/>
      <w:r>
        <w:rPr>
          <w:rFonts w:ascii="Trebuchet MS" w:hAnsi="Trebuchet MS" w:cs="Arial"/>
        </w:rPr>
        <w:t xml:space="preserve">-KV. Sie die ö </w:t>
      </w:r>
      <w:proofErr w:type="spellStart"/>
      <w:r>
        <w:rPr>
          <w:rFonts w:ascii="Trebuchet MS" w:hAnsi="Trebuchet MS" w:cs="Arial"/>
        </w:rPr>
        <w:t>Überlasser</w:t>
      </w:r>
      <w:proofErr w:type="spellEnd"/>
      <w:r>
        <w:rPr>
          <w:rFonts w:ascii="Trebuchet MS" w:hAnsi="Trebuchet MS" w:cs="Arial"/>
        </w:rPr>
        <w:t xml:space="preserve">-KVs </w:t>
      </w:r>
      <w:r w:rsidR="00377CB7">
        <w:rPr>
          <w:rFonts w:ascii="Trebuchet MS" w:hAnsi="Trebuchet MS" w:cs="Arial"/>
        </w:rPr>
        <w:t>(</w:t>
      </w:r>
      <w:r>
        <w:rPr>
          <w:rFonts w:ascii="Trebuchet MS" w:hAnsi="Trebuchet MS" w:cs="Arial"/>
        </w:rPr>
        <w:t>für Arbeiter oder für Angestellte</w:t>
      </w:r>
      <w:r w:rsidR="00377CB7">
        <w:rPr>
          <w:rFonts w:ascii="Trebuchet MS" w:hAnsi="Trebuchet MS" w:cs="Arial"/>
        </w:rPr>
        <w:t xml:space="preserve">) für den AN </w:t>
      </w:r>
      <w:r>
        <w:rPr>
          <w:rFonts w:ascii="Trebuchet MS" w:hAnsi="Trebuchet MS" w:cs="Arial"/>
        </w:rPr>
        <w:t>günstiger</w:t>
      </w:r>
      <w:r w:rsidR="00377CB7">
        <w:rPr>
          <w:rFonts w:ascii="Trebuchet MS" w:hAnsi="Trebuchet MS" w:cs="Arial"/>
        </w:rPr>
        <w:t>, gelten diese inkl. Referenzzuschlag.</w:t>
      </w:r>
    </w:p>
    <w:p w:rsidR="00377CB7" w:rsidRPr="00377CB7" w:rsidRDefault="00377CB7" w:rsidP="00377CB7">
      <w:pPr>
        <w:tabs>
          <w:tab w:val="left" w:pos="567"/>
        </w:tabs>
        <w:rPr>
          <w:rFonts w:ascii="Trebuchet MS" w:eastAsia="Calibri" w:hAnsi="Trebuchet MS" w:cs="Arial"/>
          <w:b/>
        </w:rPr>
      </w:pPr>
      <w:proofErr w:type="spellStart"/>
      <w:r w:rsidRPr="00377CB7">
        <w:rPr>
          <w:rFonts w:ascii="Trebuchet MS" w:eastAsia="Calibri" w:hAnsi="Trebuchet MS" w:cs="Arial"/>
          <w:b/>
        </w:rPr>
        <w:t>Rz</w:t>
      </w:r>
      <w:proofErr w:type="spellEnd"/>
      <w:r w:rsidRPr="00377CB7">
        <w:rPr>
          <w:rFonts w:ascii="Trebuchet MS" w:eastAsia="Calibri" w:hAnsi="Trebuchet MS" w:cs="Arial"/>
          <w:b/>
        </w:rPr>
        <w:t xml:space="preserve"> 36 Übermittlung von Sachverhaltsfeststellungen durch Dritte</w:t>
      </w:r>
    </w:p>
    <w:p w:rsidR="004B0C8F" w:rsidRPr="00377CB7" w:rsidRDefault="00377CB7" w:rsidP="00747D97">
      <w:pPr>
        <w:spacing w:line="240" w:lineRule="auto"/>
        <w:rPr>
          <w:rFonts w:ascii="Trebuchet MS" w:hAnsi="Trebuchet MS" w:cs="Arial"/>
        </w:rPr>
      </w:pPr>
      <w:r>
        <w:rPr>
          <w:rFonts w:ascii="Trebuchet MS" w:hAnsi="Trebuchet MS" w:cs="Arial"/>
        </w:rPr>
        <w:t>Auch Dritte, etwa Betriebsräte, Interessenvertretungen können Unterentlohnungen anzeigen. Diese müssen hinreichend begründet sein, bloße Behauptungen reichen nicht.</w:t>
      </w:r>
    </w:p>
    <w:p w:rsidR="00450F84" w:rsidRPr="00377CB7" w:rsidRDefault="00CF1CC2" w:rsidP="00747D97">
      <w:pPr>
        <w:spacing w:line="240" w:lineRule="auto"/>
        <w:rPr>
          <w:rFonts w:ascii="Trebuchet MS" w:hAnsi="Trebuchet MS" w:cs="Arial"/>
          <w:b/>
        </w:rPr>
      </w:pPr>
      <w:proofErr w:type="spellStart"/>
      <w:r w:rsidRPr="00377CB7">
        <w:rPr>
          <w:rFonts w:ascii="Trebuchet MS" w:hAnsi="Trebuchet MS" w:cs="Arial"/>
          <w:b/>
        </w:rPr>
        <w:t>Rz</w:t>
      </w:r>
      <w:proofErr w:type="spellEnd"/>
      <w:r w:rsidRPr="00377CB7">
        <w:rPr>
          <w:rFonts w:ascii="Trebuchet MS" w:hAnsi="Trebuchet MS" w:cs="Arial"/>
          <w:b/>
        </w:rPr>
        <w:t xml:space="preserve"> 40 Tatbild der Unterentlohnung</w:t>
      </w:r>
    </w:p>
    <w:p w:rsidR="00FD7D12" w:rsidRPr="007E6D79" w:rsidRDefault="00CF1CC2" w:rsidP="00747D97">
      <w:pPr>
        <w:spacing w:line="240" w:lineRule="auto"/>
        <w:rPr>
          <w:rFonts w:ascii="Trebuchet MS" w:hAnsi="Trebuchet MS" w:cs="Arial"/>
        </w:rPr>
      </w:pPr>
      <w:r w:rsidRPr="007E6D79">
        <w:rPr>
          <w:rFonts w:ascii="Trebuchet MS" w:hAnsi="Trebuchet MS" w:cs="Arial"/>
        </w:rPr>
        <w:t xml:space="preserve">Zieht sich eine Unterentlohnung durch mehrere Lohnzahlungsperioden, liegt eine Unterschreitung vor. </w:t>
      </w:r>
      <w:r w:rsidR="00FD7D12" w:rsidRPr="007E6D79">
        <w:rPr>
          <w:rFonts w:ascii="Trebuchet MS" w:hAnsi="Trebuchet MS" w:cs="Arial"/>
        </w:rPr>
        <w:t>Bei Unterentlohnungen in zeitlich voneinander getrennten Lohnzahlungsperioden liegen mehrere Unterschreitungen vor, außer es handelt sich um ein fortgesetztes Delikt, das von einem einheitlichen Willensentschluss getragen ist.</w:t>
      </w:r>
    </w:p>
    <w:p w:rsidR="00450F84" w:rsidRPr="00377CB7" w:rsidRDefault="00450F84" w:rsidP="00747D97">
      <w:pPr>
        <w:spacing w:line="240" w:lineRule="auto"/>
        <w:rPr>
          <w:rFonts w:ascii="Trebuchet MS" w:hAnsi="Trebuchet MS" w:cs="Arial"/>
          <w:b/>
          <w:u w:val="single"/>
        </w:rPr>
      </w:pPr>
      <w:proofErr w:type="spellStart"/>
      <w:r w:rsidRPr="00377CB7">
        <w:rPr>
          <w:rFonts w:ascii="Trebuchet MS" w:hAnsi="Trebuchet MS" w:cs="Arial"/>
          <w:b/>
          <w:u w:val="single"/>
        </w:rPr>
        <w:lastRenderedPageBreak/>
        <w:t>Rz</w:t>
      </w:r>
      <w:proofErr w:type="spellEnd"/>
      <w:r w:rsidRPr="00377CB7">
        <w:rPr>
          <w:rFonts w:ascii="Trebuchet MS" w:hAnsi="Trebuchet MS" w:cs="Arial"/>
          <w:b/>
          <w:u w:val="single"/>
        </w:rPr>
        <w:t xml:space="preserve"> 41 Kontrolle des Mindestentgelts</w:t>
      </w:r>
    </w:p>
    <w:p w:rsidR="00241C2B" w:rsidRDefault="00377CB7" w:rsidP="00747D97">
      <w:pPr>
        <w:spacing w:line="240" w:lineRule="auto"/>
        <w:rPr>
          <w:rFonts w:ascii="Trebuchet MS" w:hAnsi="Trebuchet MS" w:cs="Arial"/>
        </w:rPr>
      </w:pPr>
      <w:r>
        <w:rPr>
          <w:rFonts w:ascii="Trebuchet MS" w:hAnsi="Trebuchet MS" w:cs="Arial"/>
        </w:rPr>
        <w:t xml:space="preserve">Eine ganz wichtige Randziffer: </w:t>
      </w:r>
      <w:r w:rsidR="00A86632" w:rsidRPr="007E6D79">
        <w:rPr>
          <w:rFonts w:ascii="Trebuchet MS" w:hAnsi="Trebuchet MS" w:cs="Arial"/>
        </w:rPr>
        <w:t>Grundsätzlich wird das dem AN kollektivvertraglich zustehende Entgelt dem tatsächlich bezahlten Entgelt gegenübergestellt</w:t>
      </w:r>
      <w:r w:rsidR="00241C2B">
        <w:rPr>
          <w:rFonts w:ascii="Trebuchet MS" w:hAnsi="Trebuchet MS" w:cs="Arial"/>
        </w:rPr>
        <w:t xml:space="preserve"> (s. auch </w:t>
      </w:r>
      <w:proofErr w:type="spellStart"/>
      <w:r w:rsidR="00241C2B">
        <w:rPr>
          <w:rFonts w:ascii="Trebuchet MS" w:hAnsi="Trebuchet MS" w:cs="Arial"/>
        </w:rPr>
        <w:t>Rz</w:t>
      </w:r>
      <w:proofErr w:type="spellEnd"/>
      <w:r w:rsidR="00241C2B">
        <w:rPr>
          <w:rFonts w:ascii="Trebuchet MS" w:hAnsi="Trebuchet MS" w:cs="Arial"/>
        </w:rPr>
        <w:t xml:space="preserve"> 50)</w:t>
      </w:r>
      <w:r w:rsidR="00A86632" w:rsidRPr="007E6D79">
        <w:rPr>
          <w:rFonts w:ascii="Trebuchet MS" w:hAnsi="Trebuchet MS" w:cs="Arial"/>
        </w:rPr>
        <w:t xml:space="preserve">. </w:t>
      </w:r>
      <w:r>
        <w:rPr>
          <w:rFonts w:ascii="Trebuchet MS" w:hAnsi="Trebuchet MS" w:cs="Arial"/>
        </w:rPr>
        <w:t xml:space="preserve">Von der Lohnkontrolle nicht erfasst sind SV-freie Entgelte, insbesondere Schmutzzulagen, Ansprüche aus Anlass der Beendigung, BMSVG-Beiträge. </w:t>
      </w:r>
      <w:r w:rsidR="00A86632" w:rsidRPr="007E6D79">
        <w:rPr>
          <w:rFonts w:ascii="Trebuchet MS" w:hAnsi="Trebuchet MS" w:cs="Arial"/>
        </w:rPr>
        <w:t xml:space="preserve">Beim tatsächlich bezahlten Entgelt zählen Überzahlungen aufgrund Dienstvertrag und Betriebsvereinbarung, aber </w:t>
      </w:r>
      <w:r w:rsidR="00A86632" w:rsidRPr="007E6D79">
        <w:rPr>
          <w:rFonts w:ascii="Trebuchet MS" w:hAnsi="Trebuchet MS" w:cs="Arial"/>
          <w:u w:val="single"/>
        </w:rPr>
        <w:t>auch faktische Überzahlungen</w:t>
      </w:r>
      <w:r w:rsidR="00A86632" w:rsidRPr="007E6D79">
        <w:rPr>
          <w:rFonts w:ascii="Trebuchet MS" w:hAnsi="Trebuchet MS" w:cs="Arial"/>
        </w:rPr>
        <w:t xml:space="preserve"> (zu  denen der AG z.B. nicht verpflichtet ist) dazu.</w:t>
      </w:r>
      <w:r w:rsidR="00241C2B">
        <w:rPr>
          <w:rFonts w:ascii="Trebuchet MS" w:hAnsi="Trebuchet MS" w:cs="Arial"/>
        </w:rPr>
        <w:t xml:space="preserve"> Daher sind auch freiwillige Leistungen wie Prämien anrechenbar.</w:t>
      </w:r>
    </w:p>
    <w:p w:rsidR="00450F84" w:rsidRPr="007E6D79" w:rsidRDefault="00377CB7" w:rsidP="00747D97">
      <w:pPr>
        <w:spacing w:line="240" w:lineRule="auto"/>
        <w:rPr>
          <w:rFonts w:ascii="Trebuchet MS" w:hAnsi="Trebuchet MS" w:cs="Arial"/>
        </w:rPr>
      </w:pPr>
      <w:r>
        <w:rPr>
          <w:rFonts w:ascii="Trebuchet MS" w:hAnsi="Trebuchet MS" w:cs="Arial"/>
        </w:rPr>
        <w:t xml:space="preserve">Nicht angerechnet werden </w:t>
      </w:r>
      <w:proofErr w:type="spellStart"/>
      <w:r>
        <w:rPr>
          <w:rFonts w:ascii="Trebuchet MS" w:hAnsi="Trebuchet MS" w:cs="Arial"/>
        </w:rPr>
        <w:t>Aufwandersätze</w:t>
      </w:r>
      <w:proofErr w:type="spellEnd"/>
      <w:r>
        <w:rPr>
          <w:rFonts w:ascii="Trebuchet MS" w:hAnsi="Trebuchet MS" w:cs="Arial"/>
        </w:rPr>
        <w:t xml:space="preserve"> und Sachbezüge, außer der KV sieht das vor.</w:t>
      </w:r>
    </w:p>
    <w:p w:rsidR="004A64A3" w:rsidRPr="002D2DCB" w:rsidRDefault="00450F84" w:rsidP="00747D97">
      <w:pPr>
        <w:spacing w:line="240" w:lineRule="auto"/>
        <w:rPr>
          <w:rFonts w:ascii="Trebuchet MS" w:hAnsi="Trebuchet MS" w:cs="Arial"/>
          <w:b/>
          <w:u w:val="single"/>
        </w:rPr>
      </w:pPr>
      <w:proofErr w:type="spellStart"/>
      <w:r w:rsidRPr="002D2DCB">
        <w:rPr>
          <w:rFonts w:ascii="Trebuchet MS" w:hAnsi="Trebuchet MS" w:cs="Arial"/>
          <w:b/>
          <w:u w:val="single"/>
        </w:rPr>
        <w:t>Rz</w:t>
      </w:r>
      <w:proofErr w:type="spellEnd"/>
      <w:r w:rsidRPr="002D2DCB">
        <w:rPr>
          <w:rFonts w:ascii="Trebuchet MS" w:hAnsi="Trebuchet MS" w:cs="Arial"/>
          <w:b/>
          <w:u w:val="single"/>
        </w:rPr>
        <w:t xml:space="preserve"> 43 bis 4</w:t>
      </w:r>
      <w:r w:rsidR="00FD7D12" w:rsidRPr="002D2DCB">
        <w:rPr>
          <w:rFonts w:ascii="Trebuchet MS" w:hAnsi="Trebuchet MS" w:cs="Arial"/>
          <w:b/>
          <w:u w:val="single"/>
        </w:rPr>
        <w:t>7</w:t>
      </w:r>
      <w:r w:rsidRPr="002D2DCB">
        <w:rPr>
          <w:rFonts w:ascii="Trebuchet MS" w:hAnsi="Trebuchet MS" w:cs="Arial"/>
          <w:b/>
          <w:u w:val="single"/>
        </w:rPr>
        <w:t xml:space="preserve"> KV-Parteien</w:t>
      </w:r>
    </w:p>
    <w:p w:rsidR="00450F84" w:rsidRPr="007E6D79" w:rsidRDefault="00450F84" w:rsidP="00747D97">
      <w:pPr>
        <w:spacing w:line="240" w:lineRule="auto"/>
        <w:rPr>
          <w:rFonts w:ascii="Trebuchet MS" w:hAnsi="Trebuchet MS" w:cs="Arial"/>
        </w:rPr>
      </w:pPr>
      <w:r w:rsidRPr="007E6D79">
        <w:rPr>
          <w:rFonts w:ascii="Trebuchet MS" w:hAnsi="Trebuchet MS" w:cs="Arial"/>
        </w:rPr>
        <w:t xml:space="preserve">Die KV-Parteien können bzw. müssen (bei begründeten Einwendungen gegen die Einstufung) gehört werden. </w:t>
      </w:r>
      <w:r w:rsidR="00FD7D12" w:rsidRPr="007E6D79">
        <w:rPr>
          <w:rFonts w:ascii="Trebuchet MS" w:hAnsi="Trebuchet MS" w:cs="Arial"/>
        </w:rPr>
        <w:t xml:space="preserve">Die KV-Parteien haben dafür 4 Wochen Zeit. </w:t>
      </w:r>
      <w:r w:rsidRPr="007E6D79">
        <w:rPr>
          <w:rFonts w:ascii="Trebuchet MS" w:hAnsi="Trebuchet MS" w:cs="Arial"/>
        </w:rPr>
        <w:t>Ihre Stellungnahme ist nicht bindend, dürfte aber faktisch wirken.</w:t>
      </w:r>
    </w:p>
    <w:p w:rsidR="00423C7F" w:rsidRPr="00241C2B" w:rsidRDefault="00423C7F" w:rsidP="00747D97">
      <w:pPr>
        <w:spacing w:line="240" w:lineRule="auto"/>
        <w:rPr>
          <w:rFonts w:ascii="Trebuchet MS" w:hAnsi="Trebuchet MS" w:cs="Arial"/>
          <w:b/>
          <w:u w:val="single"/>
        </w:rPr>
      </w:pPr>
      <w:proofErr w:type="spellStart"/>
      <w:r w:rsidRPr="00241C2B">
        <w:rPr>
          <w:rFonts w:ascii="Trebuchet MS" w:hAnsi="Trebuchet MS" w:cs="Arial"/>
          <w:b/>
          <w:u w:val="single"/>
        </w:rPr>
        <w:t>Rz</w:t>
      </w:r>
      <w:proofErr w:type="spellEnd"/>
      <w:r w:rsidRPr="00241C2B">
        <w:rPr>
          <w:rFonts w:ascii="Trebuchet MS" w:hAnsi="Trebuchet MS" w:cs="Arial"/>
          <w:b/>
          <w:u w:val="single"/>
        </w:rPr>
        <w:t xml:space="preserve"> 50 Nachsicht</w:t>
      </w:r>
    </w:p>
    <w:p w:rsidR="00FD7D12" w:rsidRPr="007E6D79" w:rsidRDefault="00FD7D12" w:rsidP="00747D97">
      <w:pPr>
        <w:spacing w:line="240" w:lineRule="auto"/>
        <w:rPr>
          <w:rFonts w:ascii="Trebuchet MS" w:eastAsia="Calibri" w:hAnsi="Trebuchet MS" w:cs="Arial"/>
          <w:lang w:val="de-DE"/>
        </w:rPr>
      </w:pPr>
      <w:r w:rsidRPr="007E6D79">
        <w:rPr>
          <w:rFonts w:ascii="Trebuchet MS" w:eastAsia="Calibri" w:hAnsi="Trebuchet MS" w:cs="Arial"/>
          <w:lang w:val="de-DE"/>
        </w:rPr>
        <w:t>Bereits aus dem Gesetz ergibt sich, dass zivilrechtliche Verjährungs- und Verfallsfristen hinsichtlich der Nachzahlung unbeachtlich sind.</w:t>
      </w:r>
    </w:p>
    <w:p w:rsidR="00540969" w:rsidRPr="007E6D79" w:rsidRDefault="00241C2B" w:rsidP="00747D97">
      <w:pPr>
        <w:spacing w:line="240" w:lineRule="auto"/>
        <w:rPr>
          <w:rFonts w:ascii="Trebuchet MS" w:eastAsia="Calibri" w:hAnsi="Trebuchet MS" w:cs="Arial"/>
          <w:lang w:val="de-DE"/>
        </w:rPr>
      </w:pPr>
      <w:r>
        <w:rPr>
          <w:rFonts w:ascii="Trebuchet MS" w:eastAsia="Calibri" w:hAnsi="Trebuchet MS" w:cs="Arial"/>
          <w:lang w:val="de-DE"/>
        </w:rPr>
        <w:t xml:space="preserve">Bei der Nachsicht </w:t>
      </w:r>
      <w:r w:rsidR="00540969" w:rsidRPr="007E6D79">
        <w:rPr>
          <w:rFonts w:ascii="Trebuchet MS" w:eastAsia="Calibri" w:hAnsi="Trebuchet MS" w:cs="Arial"/>
          <w:lang w:val="de-DE"/>
        </w:rPr>
        <w:t xml:space="preserve">kommt </w:t>
      </w:r>
      <w:r>
        <w:rPr>
          <w:rFonts w:ascii="Trebuchet MS" w:eastAsia="Calibri" w:hAnsi="Trebuchet MS" w:cs="Arial"/>
          <w:lang w:val="de-DE"/>
        </w:rPr>
        <w:t xml:space="preserve">es </w:t>
      </w:r>
      <w:r w:rsidR="00540969" w:rsidRPr="007E6D79">
        <w:rPr>
          <w:rFonts w:ascii="Trebuchet MS" w:eastAsia="Calibri" w:hAnsi="Trebuchet MS" w:cs="Arial"/>
          <w:lang w:val="de-DE"/>
        </w:rPr>
        <w:t>darauf</w:t>
      </w:r>
      <w:r>
        <w:rPr>
          <w:rFonts w:ascii="Trebuchet MS" w:eastAsia="Calibri" w:hAnsi="Trebuchet MS" w:cs="Arial"/>
          <w:lang w:val="de-DE"/>
        </w:rPr>
        <w:t xml:space="preserve"> an</w:t>
      </w:r>
      <w:r w:rsidR="00540969" w:rsidRPr="007E6D79">
        <w:rPr>
          <w:rFonts w:ascii="Trebuchet MS" w:eastAsia="Calibri" w:hAnsi="Trebuchet MS" w:cs="Arial"/>
          <w:lang w:val="de-DE"/>
        </w:rPr>
        <w:t xml:space="preserve">, dass der AG die Differenz nachweislich leistet. </w:t>
      </w:r>
      <w:r w:rsidR="002D2DCB">
        <w:rPr>
          <w:rFonts w:ascii="Trebuchet MS" w:eastAsia="Calibri" w:hAnsi="Trebuchet MS" w:cs="Arial"/>
          <w:lang w:val="de-DE"/>
        </w:rPr>
        <w:t xml:space="preserve">Weder der Gesetzeswortlaut noch der Erlass fordern eine </w:t>
      </w:r>
      <w:r w:rsidR="00540969" w:rsidRPr="007E6D79">
        <w:rPr>
          <w:rFonts w:ascii="Trebuchet MS" w:eastAsia="Calibri" w:hAnsi="Trebuchet MS" w:cs="Arial"/>
          <w:lang w:val="de-DE"/>
        </w:rPr>
        <w:t>Widmung („Betrag X wird für Arbeitsleistung Y nachbezahlt“)</w:t>
      </w:r>
      <w:r w:rsidR="002D2DCB">
        <w:rPr>
          <w:rFonts w:ascii="Trebuchet MS" w:eastAsia="Calibri" w:hAnsi="Trebuchet MS" w:cs="Arial"/>
          <w:lang w:val="de-DE"/>
        </w:rPr>
        <w:t>.</w:t>
      </w:r>
      <w:r>
        <w:rPr>
          <w:rFonts w:ascii="Trebuchet MS" w:eastAsia="Calibri" w:hAnsi="Trebuchet MS" w:cs="Arial"/>
          <w:lang w:val="de-DE"/>
        </w:rPr>
        <w:t xml:space="preserve"> </w:t>
      </w:r>
      <w:r w:rsidR="008A68D5">
        <w:rPr>
          <w:rFonts w:ascii="Trebuchet MS" w:eastAsia="Calibri" w:hAnsi="Trebuchet MS" w:cs="Arial"/>
          <w:lang w:val="de-DE"/>
        </w:rPr>
        <w:t>ME</w:t>
      </w:r>
      <w:r>
        <w:rPr>
          <w:rFonts w:ascii="Trebuchet MS" w:eastAsia="Calibri" w:hAnsi="Trebuchet MS" w:cs="Arial"/>
          <w:lang w:val="de-DE"/>
        </w:rPr>
        <w:t xml:space="preserve"> sind daher auch Leistungen wie Prämien nicht nur anrechenbar, sondern wirken auch dann als Nachzahlung, wenn sie nicht ausdrücklich einem bestimmten Anspruch, der nicht (vollständig) vergütet wurde, gewidmet sind. </w:t>
      </w:r>
    </w:p>
    <w:p w:rsidR="00FD7D12" w:rsidRPr="007E6D79" w:rsidRDefault="00FD7D12" w:rsidP="00747D97">
      <w:pPr>
        <w:spacing w:line="240" w:lineRule="auto"/>
        <w:rPr>
          <w:rFonts w:ascii="Trebuchet MS" w:hAnsi="Trebuchet MS" w:cs="Arial"/>
          <w:b/>
          <w:lang w:val="de-DE"/>
        </w:rPr>
      </w:pPr>
      <w:proofErr w:type="spellStart"/>
      <w:r w:rsidRPr="007E6D79">
        <w:rPr>
          <w:rFonts w:ascii="Trebuchet MS" w:hAnsi="Trebuchet MS" w:cs="Arial"/>
          <w:b/>
          <w:lang w:val="de-DE"/>
        </w:rPr>
        <w:t>Rz</w:t>
      </w:r>
      <w:proofErr w:type="spellEnd"/>
      <w:r w:rsidRPr="007E6D79">
        <w:rPr>
          <w:rFonts w:ascii="Trebuchet MS" w:hAnsi="Trebuchet MS" w:cs="Arial"/>
          <w:b/>
          <w:lang w:val="de-DE"/>
        </w:rPr>
        <w:t xml:space="preserve"> 51 Absehen von der Anzeige</w:t>
      </w:r>
    </w:p>
    <w:p w:rsidR="00FD7D12" w:rsidRPr="007E6D79" w:rsidRDefault="00FD7D12" w:rsidP="00747D97">
      <w:pPr>
        <w:spacing w:line="240" w:lineRule="auto"/>
        <w:rPr>
          <w:rFonts w:ascii="Trebuchet MS" w:eastAsia="Calibri" w:hAnsi="Trebuchet MS" w:cs="Arial"/>
        </w:rPr>
      </w:pPr>
      <w:r w:rsidRPr="007E6D79">
        <w:rPr>
          <w:rFonts w:ascii="Trebuchet MS" w:eastAsia="Calibri" w:hAnsi="Trebuchet MS" w:cs="Arial"/>
        </w:rPr>
        <w:t xml:space="preserve">Bei Vorliegen der vorgenannten Voraussetzungen </w:t>
      </w:r>
      <w:r w:rsidRPr="007E6D79">
        <w:rPr>
          <w:rFonts w:ascii="Trebuchet MS" w:eastAsia="Calibri" w:hAnsi="Trebuchet MS" w:cs="Arial"/>
          <w:b/>
        </w:rPr>
        <w:t>hat</w:t>
      </w:r>
      <w:r w:rsidRPr="007E6D79">
        <w:rPr>
          <w:rFonts w:ascii="Trebuchet MS" w:eastAsia="Calibri" w:hAnsi="Trebuchet MS" w:cs="Arial"/>
        </w:rPr>
        <w:t xml:space="preserve"> das Kompetenzzentrum von einer Anzeige abzusehen bzw. hat der Arbeitgeber einen Rechtsanspruch auf das Absehen von der Anzeige.</w:t>
      </w:r>
    </w:p>
    <w:p w:rsidR="00FD7D12" w:rsidRPr="002D2DCB" w:rsidRDefault="00241C2B" w:rsidP="00747D97">
      <w:pPr>
        <w:spacing w:line="240" w:lineRule="auto"/>
        <w:rPr>
          <w:rFonts w:ascii="Trebuchet MS" w:hAnsi="Trebuchet MS" w:cs="Arial"/>
          <w:b/>
          <w:u w:val="single"/>
        </w:rPr>
      </w:pPr>
      <w:proofErr w:type="spellStart"/>
      <w:r w:rsidRPr="002D2DCB">
        <w:rPr>
          <w:rFonts w:ascii="Trebuchet MS" w:hAnsi="Trebuchet MS" w:cs="Arial"/>
          <w:b/>
          <w:u w:val="single"/>
        </w:rPr>
        <w:t>Rz</w:t>
      </w:r>
      <w:proofErr w:type="spellEnd"/>
      <w:r w:rsidRPr="002D2DCB">
        <w:rPr>
          <w:rFonts w:ascii="Trebuchet MS" w:hAnsi="Trebuchet MS" w:cs="Arial"/>
          <w:b/>
          <w:u w:val="single"/>
        </w:rPr>
        <w:t xml:space="preserve"> 52 Geringe Unterschreitung – 10%ige Bagatellgrenze</w:t>
      </w:r>
    </w:p>
    <w:p w:rsidR="00241C2B" w:rsidRPr="007E6D79" w:rsidRDefault="00241C2B" w:rsidP="00747D97">
      <w:pPr>
        <w:spacing w:line="240" w:lineRule="auto"/>
        <w:rPr>
          <w:rFonts w:ascii="Trebuchet MS" w:hAnsi="Trebuchet MS" w:cs="Arial"/>
        </w:rPr>
      </w:pPr>
      <w:r>
        <w:rPr>
          <w:rFonts w:ascii="Trebuchet MS" w:hAnsi="Trebuchet MS" w:cs="Arial"/>
        </w:rPr>
        <w:t>Die RZ definiert eine Unterschreitung von maximal 10% des Monatsentgelts als „gering“. Das ist wesentlich, weil bei geringen Unterschreitungen die Anzeige/Strafe stets durch Nachzahlung abgewendet werden kann.</w:t>
      </w:r>
    </w:p>
    <w:p w:rsidR="00423C7F" w:rsidRPr="002D2DCB" w:rsidRDefault="00423C7F" w:rsidP="00747D97">
      <w:pPr>
        <w:spacing w:line="240" w:lineRule="auto"/>
        <w:rPr>
          <w:rFonts w:ascii="Trebuchet MS" w:hAnsi="Trebuchet MS" w:cs="Arial"/>
          <w:b/>
          <w:u w:val="single"/>
        </w:rPr>
      </w:pPr>
      <w:proofErr w:type="spellStart"/>
      <w:r w:rsidRPr="002D2DCB">
        <w:rPr>
          <w:rFonts w:ascii="Trebuchet MS" w:hAnsi="Trebuchet MS" w:cs="Arial"/>
          <w:b/>
          <w:u w:val="single"/>
        </w:rPr>
        <w:t>R</w:t>
      </w:r>
      <w:r w:rsidR="00241C2B" w:rsidRPr="002D2DCB">
        <w:rPr>
          <w:rFonts w:ascii="Trebuchet MS" w:hAnsi="Trebuchet MS" w:cs="Arial"/>
          <w:b/>
          <w:u w:val="single"/>
        </w:rPr>
        <w:t>z</w:t>
      </w:r>
      <w:proofErr w:type="spellEnd"/>
      <w:r w:rsidRPr="002D2DCB">
        <w:rPr>
          <w:rFonts w:ascii="Trebuchet MS" w:hAnsi="Trebuchet MS" w:cs="Arial"/>
          <w:b/>
          <w:u w:val="single"/>
        </w:rPr>
        <w:t xml:space="preserve"> </w:t>
      </w:r>
      <w:r w:rsidR="00795854" w:rsidRPr="002D2DCB">
        <w:rPr>
          <w:rFonts w:ascii="Trebuchet MS" w:hAnsi="Trebuchet MS" w:cs="Arial"/>
          <w:b/>
          <w:u w:val="single"/>
        </w:rPr>
        <w:t xml:space="preserve">55 </w:t>
      </w:r>
      <w:r w:rsidRPr="002D2DCB">
        <w:rPr>
          <w:rFonts w:ascii="Trebuchet MS" w:hAnsi="Trebuchet MS" w:cs="Arial"/>
          <w:b/>
          <w:u w:val="single"/>
        </w:rPr>
        <w:t>Tätige Reue</w:t>
      </w:r>
    </w:p>
    <w:p w:rsidR="00795854" w:rsidRPr="007E6D79" w:rsidRDefault="00423C7F" w:rsidP="00747D97">
      <w:pPr>
        <w:spacing w:line="240" w:lineRule="auto"/>
        <w:rPr>
          <w:rFonts w:ascii="Trebuchet MS" w:hAnsi="Trebuchet MS" w:cs="Arial"/>
        </w:rPr>
      </w:pPr>
      <w:r w:rsidRPr="007E6D79">
        <w:rPr>
          <w:rFonts w:ascii="Trebuchet MS" w:hAnsi="Trebuchet MS" w:cs="Arial"/>
        </w:rPr>
        <w:t>Wird der Fehlbetrag vor der Kontrolle geleistet, entfällt die Strafbarkeit. Auf die tatsächliche Schadensgutmachung kommt es an. ME ist daher auch eine Widmung, also eine Erklärung, welcher Anspruch erfüllt wird, nicht notwendig.</w:t>
      </w:r>
    </w:p>
    <w:p w:rsidR="00A75B1E" w:rsidRPr="007E6D79" w:rsidRDefault="00A75B1E" w:rsidP="00747D97">
      <w:pPr>
        <w:spacing w:line="240" w:lineRule="auto"/>
        <w:rPr>
          <w:rFonts w:ascii="Trebuchet MS" w:eastAsia="Calibri" w:hAnsi="Trebuchet MS" w:cs="Arial"/>
          <w:lang w:val="de-DE"/>
        </w:rPr>
      </w:pPr>
      <w:r w:rsidRPr="007E6D79">
        <w:rPr>
          <w:rFonts w:ascii="Trebuchet MS" w:eastAsia="Calibri" w:hAnsi="Trebuchet MS" w:cs="Arial"/>
          <w:lang w:val="de-DE"/>
        </w:rPr>
        <w:t>Tätige Reue liegt auch dann vor, wenn die Nachzahlung der Entgeltdifferenz über „Intervention“ Dritter (etwa einer Interessenvertretung) erfolgt.</w:t>
      </w:r>
    </w:p>
    <w:p w:rsidR="00A75B1E" w:rsidRPr="007E6D79" w:rsidRDefault="00A75B1E" w:rsidP="00747D97">
      <w:pPr>
        <w:spacing w:line="240" w:lineRule="auto"/>
        <w:rPr>
          <w:rFonts w:ascii="Trebuchet MS" w:eastAsia="Calibri" w:hAnsi="Trebuchet MS" w:cs="Arial"/>
          <w:lang w:val="de-DE"/>
        </w:rPr>
      </w:pPr>
      <w:r w:rsidRPr="007E6D79">
        <w:rPr>
          <w:rFonts w:ascii="Trebuchet MS" w:eastAsia="Calibri" w:hAnsi="Trebuchet MS" w:cs="Arial"/>
          <w:bCs/>
        </w:rPr>
        <w:t>Bei Unmöglichkeit</w:t>
      </w:r>
      <w:r w:rsidRPr="007E6D79">
        <w:rPr>
          <w:rFonts w:ascii="Trebuchet MS" w:eastAsia="Calibri" w:hAnsi="Trebuchet MS" w:cs="Arial"/>
        </w:rPr>
        <w:t xml:space="preserve"> direkter Gutmachung, weil der Geschädigte die Annahme verweigert oder unbekannt ist, kann die Schadensgutmachung z.B. auch durch </w:t>
      </w:r>
      <w:r w:rsidRPr="007E6D79">
        <w:rPr>
          <w:rFonts w:ascii="Trebuchet MS" w:eastAsia="Calibri" w:hAnsi="Trebuchet MS" w:cs="Arial"/>
          <w:bCs/>
        </w:rPr>
        <w:t>Erlag</w:t>
      </w:r>
      <w:r w:rsidRPr="007E6D79">
        <w:rPr>
          <w:rFonts w:ascii="Trebuchet MS" w:eastAsia="Calibri" w:hAnsi="Trebuchet MS" w:cs="Arial"/>
        </w:rPr>
        <w:t xml:space="preserve"> gemäß § 1425 ABGB (gerichtliche Hinterlegung der Schuld) geleistet werden. Bloße Verwahrung zu</w:t>
      </w:r>
      <w:r w:rsidR="002D2DCB">
        <w:rPr>
          <w:rFonts w:ascii="Trebuchet MS" w:eastAsia="Calibri" w:hAnsi="Trebuchet MS" w:cs="Arial"/>
        </w:rPr>
        <w:t>h</w:t>
      </w:r>
      <w:r w:rsidRPr="007E6D79">
        <w:rPr>
          <w:rFonts w:ascii="Trebuchet MS" w:eastAsia="Calibri" w:hAnsi="Trebuchet MS" w:cs="Arial"/>
        </w:rPr>
        <w:t xml:space="preserve">ause oder auf separatem Konto wäre unzureichend. </w:t>
      </w:r>
    </w:p>
    <w:p w:rsidR="00DE225C" w:rsidRPr="007E6D79" w:rsidRDefault="00A75B1E" w:rsidP="00747D97">
      <w:pPr>
        <w:spacing w:line="240" w:lineRule="auto"/>
        <w:rPr>
          <w:rFonts w:ascii="Trebuchet MS" w:hAnsi="Trebuchet MS" w:cs="Arial"/>
          <w:b/>
          <w:lang w:val="de-DE"/>
        </w:rPr>
      </w:pPr>
      <w:proofErr w:type="spellStart"/>
      <w:r w:rsidRPr="007E6D79">
        <w:rPr>
          <w:rFonts w:ascii="Trebuchet MS" w:hAnsi="Trebuchet MS" w:cs="Arial"/>
          <w:b/>
          <w:lang w:val="de-DE"/>
        </w:rPr>
        <w:t>R</w:t>
      </w:r>
      <w:r w:rsidR="002D2DCB">
        <w:rPr>
          <w:rFonts w:ascii="Trebuchet MS" w:hAnsi="Trebuchet MS" w:cs="Arial"/>
          <w:b/>
          <w:lang w:val="de-DE"/>
        </w:rPr>
        <w:t>z</w:t>
      </w:r>
      <w:proofErr w:type="spellEnd"/>
      <w:r w:rsidRPr="007E6D79">
        <w:rPr>
          <w:rFonts w:ascii="Trebuchet MS" w:hAnsi="Trebuchet MS" w:cs="Arial"/>
          <w:b/>
          <w:lang w:val="de-DE"/>
        </w:rPr>
        <w:t xml:space="preserve"> 57 Absehen von der Strafverfolgung</w:t>
      </w:r>
    </w:p>
    <w:p w:rsidR="00A75B1E" w:rsidRPr="007E6D79" w:rsidRDefault="00A75B1E" w:rsidP="00747D97">
      <w:pPr>
        <w:spacing w:line="240" w:lineRule="auto"/>
        <w:rPr>
          <w:rFonts w:ascii="Trebuchet MS" w:hAnsi="Trebuchet MS" w:cs="Arial"/>
        </w:rPr>
      </w:pPr>
      <w:r w:rsidRPr="007E6D79">
        <w:rPr>
          <w:rFonts w:ascii="Trebuchet MS" w:hAnsi="Trebuchet MS" w:cs="Arial"/>
        </w:rPr>
        <w:t>Arbeitsrechtliche Entgeltansprüche sind eine Vorfrage nach Maßgabe von § 38 AVG. Demnach kann die Behörde das Verfahren bis zur Entscheidung durch das Gericht aussetzen.</w:t>
      </w:r>
    </w:p>
    <w:p w:rsidR="00795854" w:rsidRPr="007E6D79" w:rsidRDefault="00795854" w:rsidP="00747D97">
      <w:pPr>
        <w:spacing w:line="240" w:lineRule="auto"/>
        <w:rPr>
          <w:rFonts w:ascii="Trebuchet MS" w:hAnsi="Trebuchet MS" w:cs="Arial"/>
          <w:b/>
        </w:rPr>
      </w:pPr>
      <w:proofErr w:type="spellStart"/>
      <w:r w:rsidRPr="007E6D79">
        <w:rPr>
          <w:rFonts w:ascii="Trebuchet MS" w:hAnsi="Trebuchet MS" w:cs="Arial"/>
          <w:b/>
        </w:rPr>
        <w:t>R</w:t>
      </w:r>
      <w:r w:rsidR="002D2DCB">
        <w:rPr>
          <w:rFonts w:ascii="Trebuchet MS" w:hAnsi="Trebuchet MS" w:cs="Arial"/>
          <w:b/>
        </w:rPr>
        <w:t>z</w:t>
      </w:r>
      <w:proofErr w:type="spellEnd"/>
      <w:r w:rsidRPr="007E6D79">
        <w:rPr>
          <w:rFonts w:ascii="Trebuchet MS" w:hAnsi="Trebuchet MS" w:cs="Arial"/>
          <w:b/>
        </w:rPr>
        <w:t xml:space="preserve"> 62 Strafausmaß</w:t>
      </w:r>
    </w:p>
    <w:p w:rsidR="00795854" w:rsidRPr="007E6D79" w:rsidRDefault="00795854" w:rsidP="00747D97">
      <w:pPr>
        <w:spacing w:line="240" w:lineRule="auto"/>
        <w:rPr>
          <w:rFonts w:ascii="Trebuchet MS" w:hAnsi="Trebuchet MS" w:cs="Arial"/>
        </w:rPr>
      </w:pPr>
      <w:r w:rsidRPr="007E6D79">
        <w:rPr>
          <w:rFonts w:ascii="Trebuchet MS" w:hAnsi="Trebuchet MS" w:cs="Arial"/>
        </w:rPr>
        <w:t>Die Kriterien für die Strafbemessung sind:</w:t>
      </w:r>
    </w:p>
    <w:p w:rsidR="00795854" w:rsidRPr="007E6D79" w:rsidRDefault="00795854" w:rsidP="00747D97">
      <w:pPr>
        <w:pStyle w:val="Listenabsatz"/>
        <w:numPr>
          <w:ilvl w:val="0"/>
          <w:numId w:val="1"/>
        </w:numPr>
        <w:spacing w:line="240" w:lineRule="auto"/>
        <w:rPr>
          <w:rFonts w:ascii="Trebuchet MS" w:hAnsi="Trebuchet MS" w:cs="Arial"/>
        </w:rPr>
      </w:pPr>
      <w:r w:rsidRPr="007E6D79">
        <w:rPr>
          <w:rFonts w:ascii="Trebuchet MS" w:hAnsi="Trebuchet MS" w:cs="Arial"/>
        </w:rPr>
        <w:t>Ausmaß und Dauer der Unterentlohnung, Anzahl der betroffenen AN</w:t>
      </w:r>
    </w:p>
    <w:p w:rsidR="00795854" w:rsidRPr="007E6D79" w:rsidRDefault="00795854" w:rsidP="00747D97">
      <w:pPr>
        <w:pStyle w:val="Listenabsatz"/>
        <w:numPr>
          <w:ilvl w:val="0"/>
          <w:numId w:val="1"/>
        </w:numPr>
        <w:spacing w:line="240" w:lineRule="auto"/>
        <w:rPr>
          <w:rFonts w:ascii="Trebuchet MS" w:hAnsi="Trebuchet MS" w:cs="Arial"/>
        </w:rPr>
      </w:pPr>
      <w:r w:rsidRPr="007E6D79">
        <w:rPr>
          <w:rFonts w:ascii="Trebuchet MS" w:hAnsi="Trebuchet MS" w:cs="Arial"/>
        </w:rPr>
        <w:t>Ausnützung der Schwächeposition des Geschädigten</w:t>
      </w:r>
    </w:p>
    <w:p w:rsidR="00795854" w:rsidRPr="007E6D79" w:rsidRDefault="00795854" w:rsidP="00747D97">
      <w:pPr>
        <w:pStyle w:val="Listenabsatz"/>
        <w:numPr>
          <w:ilvl w:val="0"/>
          <w:numId w:val="1"/>
        </w:numPr>
        <w:spacing w:line="240" w:lineRule="auto"/>
        <w:rPr>
          <w:rFonts w:ascii="Trebuchet MS" w:hAnsi="Trebuchet MS" w:cs="Arial"/>
        </w:rPr>
      </w:pPr>
      <w:r w:rsidRPr="007E6D79">
        <w:rPr>
          <w:rFonts w:ascii="Trebuchet MS" w:hAnsi="Trebuchet MS" w:cs="Arial"/>
        </w:rPr>
        <w:t>Verschulden</w:t>
      </w:r>
    </w:p>
    <w:p w:rsidR="00795854" w:rsidRPr="007E6D79" w:rsidRDefault="00795854" w:rsidP="00747D97">
      <w:pPr>
        <w:pStyle w:val="Listenabsatz"/>
        <w:numPr>
          <w:ilvl w:val="0"/>
          <w:numId w:val="1"/>
        </w:numPr>
        <w:spacing w:line="240" w:lineRule="auto"/>
        <w:rPr>
          <w:rFonts w:ascii="Trebuchet MS" w:hAnsi="Trebuchet MS" w:cs="Arial"/>
        </w:rPr>
      </w:pPr>
      <w:r w:rsidRPr="007E6D79">
        <w:rPr>
          <w:rFonts w:ascii="Trebuchet MS" w:hAnsi="Trebuchet MS" w:cs="Arial"/>
        </w:rPr>
        <w:lastRenderedPageBreak/>
        <w:t>Bedeutung des Rechtsguts, Vorstrafen, Prävention</w:t>
      </w:r>
    </w:p>
    <w:p w:rsidR="00795854" w:rsidRPr="007E6D79" w:rsidRDefault="00795854" w:rsidP="00747D97">
      <w:pPr>
        <w:pStyle w:val="Listenabsatz"/>
        <w:numPr>
          <w:ilvl w:val="0"/>
          <w:numId w:val="1"/>
        </w:numPr>
        <w:spacing w:line="240" w:lineRule="auto"/>
        <w:rPr>
          <w:rFonts w:ascii="Trebuchet MS" w:hAnsi="Trebuchet MS" w:cs="Arial"/>
        </w:rPr>
      </w:pPr>
      <w:r w:rsidRPr="007E6D79">
        <w:rPr>
          <w:rFonts w:ascii="Trebuchet MS" w:hAnsi="Trebuchet MS" w:cs="Arial"/>
        </w:rPr>
        <w:t>Nicht leicht zu überblickende Grundlagen für die Berechnung des KV-Entgelts</w:t>
      </w:r>
    </w:p>
    <w:p w:rsidR="00795854" w:rsidRPr="007E6D79" w:rsidRDefault="00795854" w:rsidP="00747D97">
      <w:pPr>
        <w:pStyle w:val="Listenabsatz"/>
        <w:numPr>
          <w:ilvl w:val="0"/>
          <w:numId w:val="1"/>
        </w:numPr>
        <w:spacing w:line="240" w:lineRule="auto"/>
        <w:rPr>
          <w:rFonts w:ascii="Trebuchet MS" w:hAnsi="Trebuchet MS" w:cs="Arial"/>
        </w:rPr>
      </w:pPr>
      <w:r w:rsidRPr="007E6D79">
        <w:rPr>
          <w:rFonts w:ascii="Trebuchet MS" w:hAnsi="Trebuchet MS" w:cs="Arial"/>
        </w:rPr>
        <w:t>Vermögenslage des AG</w:t>
      </w:r>
    </w:p>
    <w:p w:rsidR="002D2DCB" w:rsidRPr="002D2DCB" w:rsidRDefault="002D2DCB" w:rsidP="00747D97">
      <w:pPr>
        <w:spacing w:line="240" w:lineRule="auto"/>
        <w:rPr>
          <w:rFonts w:ascii="Trebuchet MS" w:hAnsi="Trebuchet MS" w:cs="Arial"/>
          <w:b/>
        </w:rPr>
      </w:pPr>
      <w:proofErr w:type="spellStart"/>
      <w:r w:rsidRPr="002D2DCB">
        <w:rPr>
          <w:rFonts w:ascii="Trebuchet MS" w:hAnsi="Trebuchet MS" w:cs="Arial"/>
          <w:b/>
        </w:rPr>
        <w:t>Rz</w:t>
      </w:r>
      <w:proofErr w:type="spellEnd"/>
      <w:r w:rsidRPr="002D2DCB">
        <w:rPr>
          <w:rFonts w:ascii="Trebuchet MS" w:hAnsi="Trebuchet MS" w:cs="Arial"/>
          <w:b/>
        </w:rPr>
        <w:t xml:space="preserve"> 64 Information des AN über Strafbescheid</w:t>
      </w:r>
    </w:p>
    <w:p w:rsidR="002D2DCB" w:rsidRPr="002D2DCB" w:rsidRDefault="002D2DCB" w:rsidP="00747D97">
      <w:pPr>
        <w:spacing w:line="240" w:lineRule="auto"/>
        <w:rPr>
          <w:rFonts w:ascii="Trebuchet MS" w:hAnsi="Trebuchet MS" w:cs="Arial"/>
        </w:rPr>
      </w:pPr>
      <w:r w:rsidRPr="002D2DCB">
        <w:rPr>
          <w:rFonts w:ascii="Trebuchet MS" w:hAnsi="Trebuchet MS" w:cs="Arial"/>
        </w:rPr>
        <w:t>Der Anspruch ergibt sich aus dem Gesetz. Der AN erhält aber nicht den Bescheid, sondern wird nur über die Tatsache der Bestrafung informiert.</w:t>
      </w:r>
    </w:p>
    <w:p w:rsidR="00A75B1E" w:rsidRPr="002D2DCB" w:rsidRDefault="00A75B1E" w:rsidP="00747D97">
      <w:pPr>
        <w:spacing w:line="240" w:lineRule="auto"/>
        <w:rPr>
          <w:rFonts w:ascii="Trebuchet MS" w:hAnsi="Trebuchet MS" w:cs="Arial"/>
          <w:b/>
          <w:u w:val="single"/>
        </w:rPr>
      </w:pPr>
      <w:proofErr w:type="spellStart"/>
      <w:r w:rsidRPr="002D2DCB">
        <w:rPr>
          <w:rFonts w:ascii="Trebuchet MS" w:hAnsi="Trebuchet MS" w:cs="Arial"/>
          <w:b/>
          <w:u w:val="single"/>
        </w:rPr>
        <w:t>Rz</w:t>
      </w:r>
      <w:proofErr w:type="spellEnd"/>
      <w:r w:rsidRPr="002D2DCB">
        <w:rPr>
          <w:rFonts w:ascii="Trebuchet MS" w:hAnsi="Trebuchet MS" w:cs="Arial"/>
          <w:b/>
          <w:u w:val="single"/>
        </w:rPr>
        <w:t xml:space="preserve"> 70 </w:t>
      </w:r>
      <w:proofErr w:type="spellStart"/>
      <w:r w:rsidRPr="002D2DCB">
        <w:rPr>
          <w:rFonts w:ascii="Trebuchet MS" w:hAnsi="Trebuchet MS" w:cs="Arial"/>
          <w:b/>
          <w:u w:val="single"/>
        </w:rPr>
        <w:t>Günstigkeitsvergleich</w:t>
      </w:r>
      <w:proofErr w:type="spellEnd"/>
    </w:p>
    <w:p w:rsidR="00A75B1E" w:rsidRPr="007E6D79" w:rsidRDefault="00A75B1E" w:rsidP="00747D97">
      <w:pPr>
        <w:spacing w:line="240" w:lineRule="auto"/>
        <w:rPr>
          <w:rFonts w:ascii="Trebuchet MS" w:eastAsia="Calibri" w:hAnsi="Trebuchet MS" w:cs="Arial"/>
          <w:lang w:val="de-DE"/>
        </w:rPr>
      </w:pPr>
      <w:r w:rsidRPr="007E6D79">
        <w:rPr>
          <w:rFonts w:ascii="Trebuchet MS" w:eastAsia="Calibri" w:hAnsi="Trebuchet MS" w:cs="Arial"/>
          <w:lang w:val="de-DE"/>
        </w:rPr>
        <w:t>Nach § 1 Abs. 2 VStG richtet sich die Strafe nach dem zur Zeit der Tat geltenden Recht, es sei denn, dass das zur Zeit der Entscheidung geltende Recht in seiner Gesamtauswirkung für den Täter günstiger wäre (Rückwirkungsgebot/</w:t>
      </w:r>
      <w:proofErr w:type="spellStart"/>
      <w:r w:rsidRPr="007E6D79">
        <w:rPr>
          <w:rFonts w:ascii="Trebuchet MS" w:eastAsia="Calibri" w:hAnsi="Trebuchet MS" w:cs="Arial"/>
          <w:lang w:val="de-DE"/>
        </w:rPr>
        <w:t>Günstigkeitsvergleich</w:t>
      </w:r>
      <w:proofErr w:type="spellEnd"/>
      <w:r w:rsidRPr="007E6D79">
        <w:rPr>
          <w:rFonts w:ascii="Trebuchet MS" w:eastAsia="Calibri" w:hAnsi="Trebuchet MS" w:cs="Arial"/>
          <w:lang w:val="de-DE"/>
        </w:rPr>
        <w:t xml:space="preserve">). D.h. dass für Verstöße vor dem 1. 1. 2015 die erweiterten </w:t>
      </w:r>
      <w:proofErr w:type="spellStart"/>
      <w:r w:rsidRPr="007E6D79">
        <w:rPr>
          <w:rFonts w:ascii="Trebuchet MS" w:eastAsia="Calibri" w:hAnsi="Trebuchet MS" w:cs="Arial"/>
          <w:lang w:val="de-DE"/>
        </w:rPr>
        <w:t>Nachsichtsmöglichkeiten</w:t>
      </w:r>
      <w:proofErr w:type="spellEnd"/>
      <w:r w:rsidRPr="007E6D79">
        <w:rPr>
          <w:rFonts w:ascii="Trebuchet MS" w:eastAsia="Calibri" w:hAnsi="Trebuchet MS" w:cs="Arial"/>
          <w:lang w:val="de-DE"/>
        </w:rPr>
        <w:t xml:space="preserve"> wirken (z.B. tätige Reue).</w:t>
      </w:r>
    </w:p>
    <w:p w:rsidR="00A75B1E" w:rsidRPr="007E6D79" w:rsidRDefault="00A75B1E" w:rsidP="00747D97">
      <w:pPr>
        <w:spacing w:line="240" w:lineRule="auto"/>
        <w:rPr>
          <w:rFonts w:ascii="Trebuchet MS" w:eastAsia="Calibri" w:hAnsi="Trebuchet MS" w:cs="Arial"/>
          <w:lang w:val="de-DE"/>
        </w:rPr>
      </w:pPr>
      <w:r w:rsidRPr="007E6D79">
        <w:rPr>
          <w:rFonts w:ascii="Trebuchet MS" w:eastAsia="Calibri" w:hAnsi="Trebuchet MS" w:cs="Arial"/>
          <w:lang w:val="de-DE"/>
        </w:rPr>
        <w:t xml:space="preserve">Vom </w:t>
      </w:r>
      <w:proofErr w:type="spellStart"/>
      <w:r w:rsidRPr="007E6D79">
        <w:rPr>
          <w:rFonts w:ascii="Trebuchet MS" w:eastAsia="Calibri" w:hAnsi="Trebuchet MS" w:cs="Arial"/>
          <w:lang w:val="de-DE"/>
        </w:rPr>
        <w:t>Günstigkeitsvergleich</w:t>
      </w:r>
      <w:proofErr w:type="spellEnd"/>
      <w:r w:rsidRPr="007E6D79">
        <w:rPr>
          <w:rFonts w:ascii="Trebuchet MS" w:eastAsia="Calibri" w:hAnsi="Trebuchet MS" w:cs="Arial"/>
          <w:lang w:val="de-DE"/>
        </w:rPr>
        <w:t xml:space="preserve"> ist ausschließlich die Strafe erfasst. Nicht einzubeziehen in den </w:t>
      </w:r>
      <w:proofErr w:type="spellStart"/>
      <w:r w:rsidRPr="007E6D79">
        <w:rPr>
          <w:rFonts w:ascii="Trebuchet MS" w:eastAsia="Calibri" w:hAnsi="Trebuchet MS" w:cs="Arial"/>
          <w:lang w:val="de-DE"/>
        </w:rPr>
        <w:t>Günstigkeitsvergleich</w:t>
      </w:r>
      <w:proofErr w:type="spellEnd"/>
      <w:r w:rsidRPr="007E6D79">
        <w:rPr>
          <w:rFonts w:ascii="Trebuchet MS" w:eastAsia="Calibri" w:hAnsi="Trebuchet MS" w:cs="Arial"/>
          <w:lang w:val="de-DE"/>
        </w:rPr>
        <w:t xml:space="preserve"> sind hingegen geänderte verfahrensrechtliche Vorschriften, insbesondere Verjährungsfristen oder Rechtsmittelfristen oder Strafzume</w:t>
      </w:r>
      <w:r w:rsidR="00747D97" w:rsidRPr="007E6D79">
        <w:rPr>
          <w:rFonts w:ascii="Trebuchet MS" w:eastAsia="Calibri" w:hAnsi="Trebuchet MS" w:cs="Arial"/>
          <w:lang w:val="de-DE"/>
        </w:rPr>
        <w:t>s</w:t>
      </w:r>
      <w:r w:rsidRPr="007E6D79">
        <w:rPr>
          <w:rFonts w:ascii="Trebuchet MS" w:eastAsia="Calibri" w:hAnsi="Trebuchet MS" w:cs="Arial"/>
          <w:lang w:val="de-DE"/>
        </w:rPr>
        <w:t xml:space="preserve">sungsregeln. </w:t>
      </w:r>
    </w:p>
    <w:p w:rsidR="00423C7F" w:rsidRPr="007F4C3E" w:rsidRDefault="00003F00" w:rsidP="00747D97">
      <w:pPr>
        <w:spacing w:line="240" w:lineRule="auto"/>
        <w:rPr>
          <w:rFonts w:ascii="Trebuchet MS" w:hAnsi="Trebuchet MS" w:cs="Arial"/>
          <w:b/>
          <w:u w:val="single"/>
        </w:rPr>
      </w:pPr>
      <w:proofErr w:type="spellStart"/>
      <w:r w:rsidRPr="007F4C3E">
        <w:rPr>
          <w:rFonts w:ascii="Trebuchet MS" w:hAnsi="Trebuchet MS" w:cs="Arial"/>
          <w:b/>
          <w:u w:val="single"/>
        </w:rPr>
        <w:t>Rz</w:t>
      </w:r>
      <w:proofErr w:type="spellEnd"/>
      <w:r w:rsidRPr="007F4C3E">
        <w:rPr>
          <w:rFonts w:ascii="Trebuchet MS" w:hAnsi="Trebuchet MS" w:cs="Arial"/>
          <w:b/>
          <w:u w:val="single"/>
        </w:rPr>
        <w:t xml:space="preserve"> 78 Auskunft des Kompetenzzentrums an öffentliche Auftraggeber</w:t>
      </w:r>
    </w:p>
    <w:p w:rsidR="00003F00" w:rsidRPr="007E6D79" w:rsidRDefault="00434D32" w:rsidP="00747D97">
      <w:pPr>
        <w:spacing w:line="240" w:lineRule="auto"/>
        <w:rPr>
          <w:rFonts w:ascii="Trebuchet MS" w:hAnsi="Trebuchet MS" w:cs="Arial"/>
        </w:rPr>
      </w:pPr>
      <w:r w:rsidRPr="007E6D79">
        <w:rPr>
          <w:rFonts w:ascii="Trebuchet MS" w:hAnsi="Trebuchet MS" w:cs="Arial"/>
        </w:rPr>
        <w:t>Ein Strafbescheid gilt auch dann als eine Bestrafung, wenn er sich auf mehrere Verwaltungsübertretungen bezieht. Das ist wichtig, weil der Begutachtungsentwurf zum Bundesvergabegesetz vorsieht, dass Bieter</w:t>
      </w:r>
      <w:r w:rsidR="002D2DCB">
        <w:rPr>
          <w:rFonts w:ascii="Trebuchet MS" w:hAnsi="Trebuchet MS" w:cs="Arial"/>
        </w:rPr>
        <w:t xml:space="preserve">n der Ausschluss vom Vergabeverfahren droht, wenn </w:t>
      </w:r>
      <w:r w:rsidRPr="007E6D79">
        <w:rPr>
          <w:rFonts w:ascii="Trebuchet MS" w:hAnsi="Trebuchet MS" w:cs="Arial"/>
        </w:rPr>
        <w:t xml:space="preserve">mehr als zwei Bestrafungen wegen Unterentlohnung </w:t>
      </w:r>
      <w:r w:rsidR="007F4C3E">
        <w:rPr>
          <w:rFonts w:ascii="Trebuchet MS" w:hAnsi="Trebuchet MS" w:cs="Arial"/>
        </w:rPr>
        <w:t xml:space="preserve">bzw. zwei Bestrafungen in kurzem Abstand </w:t>
      </w:r>
      <w:r w:rsidRPr="007E6D79">
        <w:rPr>
          <w:rFonts w:ascii="Trebuchet MS" w:hAnsi="Trebuchet MS" w:cs="Arial"/>
        </w:rPr>
        <w:t xml:space="preserve">vorliegen. </w:t>
      </w:r>
    </w:p>
    <w:p w:rsidR="001D594B" w:rsidRPr="007E6D79" w:rsidRDefault="001D594B" w:rsidP="00747D97">
      <w:pPr>
        <w:spacing w:line="240" w:lineRule="auto"/>
        <w:rPr>
          <w:rFonts w:ascii="Trebuchet MS" w:hAnsi="Trebuchet MS" w:cs="Arial"/>
        </w:rPr>
      </w:pPr>
    </w:p>
    <w:sectPr w:rsidR="001D594B" w:rsidRPr="007E6D79" w:rsidSect="00747D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1281"/>
    <w:multiLevelType w:val="hybridMultilevel"/>
    <w:tmpl w:val="3ACC2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26711B"/>
    <w:multiLevelType w:val="hybridMultilevel"/>
    <w:tmpl w:val="AD1A54A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8B5E66"/>
    <w:multiLevelType w:val="hybridMultilevel"/>
    <w:tmpl w:val="91421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FD"/>
    <w:rsid w:val="00003F00"/>
    <w:rsid w:val="000644AA"/>
    <w:rsid w:val="00104DFF"/>
    <w:rsid w:val="001D594B"/>
    <w:rsid w:val="00241C2B"/>
    <w:rsid w:val="002D2DCB"/>
    <w:rsid w:val="00337486"/>
    <w:rsid w:val="00377CB7"/>
    <w:rsid w:val="003B2C5F"/>
    <w:rsid w:val="00423C7F"/>
    <w:rsid w:val="00434D32"/>
    <w:rsid w:val="00450F84"/>
    <w:rsid w:val="004548B5"/>
    <w:rsid w:val="004A64A3"/>
    <w:rsid w:val="004B0C8F"/>
    <w:rsid w:val="00540969"/>
    <w:rsid w:val="00546872"/>
    <w:rsid w:val="00747D97"/>
    <w:rsid w:val="00795854"/>
    <w:rsid w:val="007E6D79"/>
    <w:rsid w:val="007F081F"/>
    <w:rsid w:val="007F4C3E"/>
    <w:rsid w:val="00852FAE"/>
    <w:rsid w:val="00885CD4"/>
    <w:rsid w:val="008A68D5"/>
    <w:rsid w:val="008D47C4"/>
    <w:rsid w:val="00A75B1E"/>
    <w:rsid w:val="00A86632"/>
    <w:rsid w:val="00AD27AA"/>
    <w:rsid w:val="00CF1CC2"/>
    <w:rsid w:val="00DE225C"/>
    <w:rsid w:val="00E86CFB"/>
    <w:rsid w:val="00ED0EFD"/>
    <w:rsid w:val="00F57375"/>
    <w:rsid w:val="00FD7D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5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5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Gleissner Rolf, Dr, WKÖ Sp</cp:lastModifiedBy>
  <cp:revision>14</cp:revision>
  <cp:lastPrinted>2015-04-28T07:23:00Z</cp:lastPrinted>
  <dcterms:created xsi:type="dcterms:W3CDTF">2015-04-26T18:33:00Z</dcterms:created>
  <dcterms:modified xsi:type="dcterms:W3CDTF">2015-05-08T12:02:00Z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510483548</vt:i4>
  </property>
  <property fmtid="{D5CDD505-2E9C-101B-9397-08002B2CF9AE}" pid="3" name="_NewReviewCycle">
    <vt:lpwstr/>
  </property>
  <property fmtid="{D5CDD505-2E9C-101B-9397-08002B2CF9AE}" pid="4" name="_EmailSubject">
    <vt:lpwstr>Erlass LSDB</vt:lpwstr>
  </property>
  <property fmtid="{D5CDD505-2E9C-101B-9397-08002B2CF9AE}" pid="5" name="_AuthorEmail">
    <vt:lpwstr>Rolf.Gleissner@wko.at</vt:lpwstr>
  </property>
  <property fmtid="{D5CDD505-2E9C-101B-9397-08002B2CF9AE}" pid="6" name="_AuthorEmailDisplayName">
    <vt:lpwstr>Gleissner Rolf, Dr, WKÖ Sp</vt:lpwstr>
  </property>
</Properties>
</file>